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818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Aga Khan Education Service Kenya v Republic and others</w:t>
      </w:r>
    </w:p>
    <w:p w:rsidR="00F36818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F36818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19 March 2004</w:t>
      </w:r>
    </w:p>
    <w:p w:rsidR="00F36818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257/03</w:t>
      </w:r>
    </w:p>
    <w:p w:rsidR="00F36818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Tunoi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O’Kubasu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F36818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F36818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C </w:t>
      </w:r>
      <w:proofErr w:type="spellStart"/>
      <w:r>
        <w:rPr>
          <w:rFonts w:ascii="Times New Roman" w:hAnsi="Times New Roman" w:cs="Times New Roman"/>
          <w:color w:val="000000"/>
        </w:rPr>
        <w:t>Kanjama</w:t>
      </w:r>
      <w:proofErr w:type="spellEnd"/>
    </w:p>
    <w:p w:rsidR="00AD5E09" w:rsidRDefault="00AD5E09" w:rsidP="00AD5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:rsidR="00F36818" w:rsidRDefault="00AD5E09" w:rsidP="00AD5E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AD5E09" w:rsidRPr="00AD5E09" w:rsidRDefault="00AD5E09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OMOLO, TUNOI AND O’KUBASU JJA:</w:t>
      </w:r>
      <w:r w:rsidR="00F36818" w:rsidRPr="00AD5E09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The Appellant before us is a body called the Aga Khan Education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Service Kenya shortened to “the AKESK”. We shall hereinafter refer to it by that acronym. The body is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apparently in charge of running educational institutions in Kenya on behalf of His Highness the Aga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Khan. Among the institutions that fall under the jurisdiction of AKESK is the Aga Khan Primary School,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Nairobi. The 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>effective respondents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to the appeal before us are Ali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Seif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, First Respondent, Benson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Wairagu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, Second Respondent and Joseph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Ngethe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Gitau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, Third Respondent. The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Attorney-General was also named as a Fourth Respondent and during the hearing of the appeal before us,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Muiruri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Ngugi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who appeared on behalf of the Attorney-General simply associated himself with the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submissions of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IT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on behalf of AKESK.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Muturi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opposed the appeal on behalf of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First, Second and Third Respondents. These three Respondents are parents with pupils learning at the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Aga Khan Primary School, Nairobi. The First Respondent is the Chairman of the School’s Parents’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Association, the Second Respondent is the Association’s Vice-Chairman while the Third Respondent is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Treasurer of the Association. It appears clear to us from the record that prior to this dispute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coming to the courts, AKESK was running the school in association or collaboration with the Parents’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Association. The school was, and we believe still is, a public school under the Education Act (Chapter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211) of the Laws of Kenya. As is usual in such cases, the parents would pay fees and other levies for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development and improvement of the school’s facilities; AKESK would also be doing the same. There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does not appear to be much controversy on the material placed before the superior court,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 (as he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then was), that the association had bought several school buses and a mini bus for the school and had also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built or improved the school’s swimming pool. The teachers in the school were provided and paid for by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Teachers’ Service Commission. It would further appear from the record that there was once a tussle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between AKESK and the Parents’ Association over the school transport account but that issue was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settled and the school was run peacefully by AKESK and the Parents’ Association until 29 November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2001 when the Parents’ Association held a joint meeting with the Chairman of AKESK, one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Farid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Hamir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At that meeting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Farid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Hamir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informed the Association that the Ministry of Education, Science and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Technology: “has already given the Board the mandate to go ahead and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privatise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the public schools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managed by AKESK (Kenya) Board including Aga Khan Primary School, Nairobi” – we quote from the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minutes of the meeting of 29 November 2001.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As is obvious from the minutes of the meeting, the Parents’ Association was obviously not amused by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that announcement. It asked why it had not been consulted and what would happen to the investments it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had made in the school.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Farid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Hamir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tried to assuage the Association’s fears and concerns 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>but apparently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to no avail. However, the minutes of the meeting of 29 November 2001 were not before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Justice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on 9 January 2002 when he granted leave, so they are not really relevant to the issues before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us. But the dispute was already on and on 9 January 2002,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Muturi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moved the superior court,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obviously on behalf of the Parents’ Association represented by the First, Second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lastRenderedPageBreak/>
        <w:t>and Third Respondents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and among the provisions of law cited in their chamber summons of the same date was Order LIII, rule 1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of the Civil Procedure Rules. The prayers asked for under that Order and which 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the only ones are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concerning us in this appeal were that: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“3 Leave be granted to the Applicants to apply for an order of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certiorari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to remove into the High Court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and quash the order/directive by the Minister of Education (the Minister’s order) that the school be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managed by the Aga Khan Education Service Kenya (the AKESK).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4. </w:t>
      </w:r>
      <w:r w:rsidR="00AD33F3" w:rsidRPr="00AD5E0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grant of leave herein do operate as a stay of the Minister’s order”.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As is mandatory with applications under Order LIII, the chamber summons was accompanied by a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statement of facts to support it and an affidavit by the First Respondent to verify the facts. The summons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came before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 on the same day and he granted leave as prayed for in paragraph 3 above and further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ordered that the leave so granted was to operate as a stay of the Minister’s order. For the purposes of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appeal, we need to point out that in the chamber summons asking for leave, an order of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certiorari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was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asked for to quash the order/directive of the Minister that the school “be managed” by AKESK; in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statement of facts, the prayer was the same while in the verifying affidavit of the First Respondent it was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contended that Minister’s order had: “[w]holly alienated the school, to AKESK who has privatized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same”.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Pursuant to the leave granted by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 the substantive motion was lodged in court on 23 January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2002 and the only order sought in the said motion was that: “An order of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certiorari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does issue to remove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into the High Court and quash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order/directive by the Minister for Education that Aga Khan Primary School, Nairobi be managed by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Aga Khan Education Service Kenya”.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To date that motion has never been heard and the reason for that is that by a notice on motion brought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under section 3A of the Civil Procedure Act (Chapter 21) and Order L, rule 17 of the Civil Procedure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Rules, AKESK itself went to the superior court on 12 February 2002 and sought two orders from that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court, to wit: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“1 That the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leave, granted to the Applicants on 9 January 2002 to apply for an order of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certiorari</w:t>
      </w:r>
      <w:proofErr w:type="gramEnd"/>
      <w:r w:rsidRPr="00AD5E09">
        <w:rPr>
          <w:rFonts w:ascii="Times New Roman" w:hAnsi="Times New Roman" w:cs="Times New Roman"/>
          <w:color w:val="000000"/>
          <w:sz w:val="24"/>
          <w:szCs w:val="24"/>
        </w:rPr>
        <w:t>, in this case be set aside and the order for stay issued on the same day be discharged.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the Chambers Summons dated 9 January 2002 filed by the Applicants be dismissed with costs”.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grounds on which the motion was brought were set out in the body of the motion itself and they were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that: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“(a) There is no, or no sufficient, material placed by the Applicants before this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Court to show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that the Applicants have a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 facie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case to apply for an order of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certiorari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(b) The alleged order/directive of the Minister of Education sought to be quashed has not been properly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identified by reference to its date or at all;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(c) There is no material placed before this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court to support the ‘grounds’ on which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aforesaid Chamber Summons and the Statement dated 9 January 2002 are based;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(d) The statement dated 9 January 2002 is incurably defective in that it contains no facts which could be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verified by the affidavit of Ali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Seif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sworn on 8 January 2002 in support of the said Chamber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Summons;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(e) The said affidavit of Ali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Seif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contains conclusions of alleged facts without any particulars to support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same;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(f ) The ‘facts’ alleged in the said affidavit of Ali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Seif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do not justify or support the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orders sought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from and made by this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Honourable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Court”.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It was this motion that was heard by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 on 31 October 2002, and in a reserved ruling dated 4 July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2003, the Learned Judge dismissed the motion with costs. That is the genesis of the appeal now before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us.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We think both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are generally agreed on the principles of law applicable in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these matters. They are agreed that in order to enable a judge to grant leave under Order LIII,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lastRenderedPageBreak/>
        <w:t>there must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be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 facie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evidence of an arguable case and for that proposition both counsel rely on this Court’s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decision in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Njuguna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v Minister for Agriculture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[2000] 1 EA 184, in which the Court approved and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applied the principles to be found in the English case of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Secretary of State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ex parte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Harbage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[1978] 1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All ER 324 where it was stated thus: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“It cannot be denied that leave should be granted, if on the material available, the court considers without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going into the matter in depth, that there is an arguable case for granting leave. The appropriate procedure for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challenging such leave subsequently is by an application by the Respondent under the inherent jurisdiction of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the court, to the judge who granted leave to set aside such leave –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see Halsbury’s Laws of England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, (4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ed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Volume 1(1) paragraph 167 at 1276”.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So once there is an arguable case, leave is to be granted and the court, at that stage, is not called upon to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go into the matter in depth. Again, by their very nature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orders are provisional and can be set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aside by the judge who has granted it, of course, if the judge is still available to do so. We think that if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judge who granted leave cannot sit, for one reason or the other, then another judge would be perfectly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entitled to hear the application to set aside the grant of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leave, for the jurisdiction is available to all judges of the superior court – see for example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Secretary of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State for the Home Department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Begum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[1989] 1 Admin LR 110.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Again, both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are agreed that the jurisdiction to set aside leave already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granted is one to be exercised very circumspectly or very sparingly. In this connection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drew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our attention to certain remarks to be found in the text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Judicial Review Handbook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3ed by Michael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Fordham where at page 360 paragraph 21.7 this statement is to be found: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“At the request of a Defendant or an interested party, the court can set aside permission previously granted.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However, this is a very restricted power. It was never popular with judges, who required there to be a very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clear cut case before discharging the permission”.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Again at page 361, it is stated: “The jurisdiction to set aside is one, which is sparingly exercised, and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reason for invoking that jurisdiction in a particular case must be specified”. The learned author of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book continues as follows at 361: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“E Power to be used sparingly: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Secretary of State for the Home Department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Begum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[1989] 1 Admin LR 110, 112F (McGowan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J) ‘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is a jurisdiction that should be very sparingly exercised’;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Crown Prosecution Service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ex parte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Hogg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[1994] 6 Admin Land Reference 778, T81E–782A;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Secretary of State for Home Department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ex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parte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Chinnoy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[1992] 4 Admin 457, 462D–F;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 v Customs and Excise Commissioners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Eurotunnel</w:t>
      </w:r>
      <w:r w:rsid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Plc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[1957] CLC 392, 399F (‘It is obvious that the whole purpose of the (permission) stage would vitiated if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the grant of (permission) were to be regularly followed by an application to set it aside’);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R v Environment</w:t>
      </w:r>
      <w:r w:rsid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Agency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ex parte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Leam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[1998]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Env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LR D1, transcript (Law J: ‘it may very well be that the claimants will face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great perhaps 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nsuperable, difficulties when the case is finally heard, but in my judgment this was never a case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for an application to set aside [permission]’. ‘It cannot be emphasized too strongly that such an application is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not to be brought merely on the footing that a [Defendant] has a very powerful, even overwhelming case’)”.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We are grateful to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for making these authorities available to us. We did not understand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to contest any of these propositions. Of course in England the position is now different and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leave or permission is granted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inter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partes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but </w:t>
      </w:r>
      <w:proofErr w:type="gram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Kenya</w:t>
      </w:r>
      <w:proofErr w:type="gram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, the leave stage is still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ex parte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. We would,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however, caution practitioners that even though leave granted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can be set aside on an 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>application that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is a very limited jurisdiction and will obviously be exercised very sparingly and in very clear-cut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cases, unless it be contended that judges of the superior court grant leave as a matter of course. We do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not think that is correct. Unless the case is an obvious one, such as where an order of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certiorari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is being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sought and it is clear to the court that the decision sought be quashed was made more </w:t>
      </w:r>
      <w:r w:rsidR="00AD33F3" w:rsidRPr="00AD5E09">
        <w:rPr>
          <w:rFonts w:ascii="Times New Roman" w:hAnsi="Times New Roman" w:cs="Times New Roman"/>
          <w:color w:val="000000"/>
          <w:sz w:val="24"/>
          <w:szCs w:val="24"/>
        </w:rPr>
        <w:t>than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six months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prior to the applicant coming to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lastRenderedPageBreak/>
        <w:t>court, and there are, therefore, no prospects at all of success, we would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ourselves discourage practitioners from routinely following the grant of leave with applications to set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leave aside. Fortunately such applications are rare and like the judges in the United Kingdom, we would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also point out that the mere fact that an applicant may in the end have great difficulties in proving his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case is no basis for setting aside leave already granted.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The Appellant filed a total of nine grounds of appeal against the refusal by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 to set aside his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earlier grant of leave to the Respondents.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, however, condensed those grounds into two broad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propositions. The first proposition was argued under grounds 1, 2 and 3 contained in the memorandum of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appeal and the substance of the proposition was that the Respondents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had failed to prove to the trial court,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prima facie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, that they had any case to warrant the grant for leave.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For this proposition the appellant relied on the provisions of section 9(3) of the Law Reform Act, Chapter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26 of the Laws of Kenya and also on Order LIII, rule 2 of the Civil Procedure Rules. Section 9(3) of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Law Reform Act (Chapter 26) provides: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“In the case of an application for an order of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certiorari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to remove any judgment, order, decree, conviction or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other proceedings for the purpose of its being quashed, leave shall not be granted unless the application for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leave is made not later than six months after the date of the judgment, order, decree, conviction or other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proceedings or such shorter period as may be prescribed under any written law”.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Order LIII, rule 2 is in similar terms. Expounding on this point,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contended before us, as 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did contend before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Justice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, that the Respondents had not identified the Minister’s order or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directive with reference to the date on which it was made. The question of the date on which the order or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directive of the Minister was made, according to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, was a thresh-hold issue and had to be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decided by the superior court before deciding the issue of whether or not to grant leave. If the application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was made more than six months after the Ministers decision then leave could not have been granted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because section 9(3) of the Law Reform Act and Order LIII, rule 2 of the Civil Procedure Rules are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couched in mandatory terms: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“leave shall not be granted unless the application for leave is made not later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33F3" w:rsidRPr="00AD5E09">
        <w:rPr>
          <w:rFonts w:ascii="Times New Roman" w:hAnsi="Times New Roman" w:cs="Times New Roman"/>
          <w:color w:val="000000"/>
          <w:sz w:val="24"/>
          <w:szCs w:val="24"/>
        </w:rPr>
        <w:t>than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six months after the date … of the decision”.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It was accordingly incumbent 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upon the Respondents, argued </w:t>
      </w:r>
      <w:proofErr w:type="spellStart"/>
      <w:r w:rsid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, to show to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Justice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that their application for leave was made not later than six months from the date of the Minister’s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decision. The Respondent had failed to show to the Learned Judge the date of the Minister’s decision and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that being so, the Learned Judge did not have material or sufficient material upon which he could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exercise his discretion in granting leave.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We agree with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that the burden is on an applicant for leave to satisfy the judge that leave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ought to be granted. As we stated elsewhere in this judgment, if it is apparent from the material placed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before a judge that the application for leave is made more than six months from the date of the decision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sought be challenged, then in the words of section 9(3), “leave shall not be granted”. What was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position in this case? It is true that the date of the Minister’s decision was not known by the time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heard the motion for leave. But in paragraph 5 of the First Respondent’s verifying affidavit, which was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before the Learned Judge on the day leave was granted, the First Respondent had sworn as follows: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“5 I am informed by the second Applicant herein and verily believe the same to be true that on Thursday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20 December 2001 he (the second Applicant) at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Jogoo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House, Nairobi, met one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Karaba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, Deputy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Director of Education in charge of Primary Division, Ministry of Education (‘the Ministry’) and with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regard to the school the latter confirmed as follows:</w:t>
      </w:r>
    </w:p>
    <w:p w:rsidR="00F36818" w:rsidRPr="00AD5E09" w:rsidRDefault="00AD5E09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(a</w:t>
      </w:r>
      <w:r w:rsidR="00F36818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F36818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Ministry had by order/directive wholly alienated the School to AKESK who has privatized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6818" w:rsidRPr="00AD5E09">
        <w:rPr>
          <w:rFonts w:ascii="Times New Roman" w:hAnsi="Times New Roman" w:cs="Times New Roman"/>
          <w:color w:val="000000"/>
          <w:sz w:val="24"/>
          <w:szCs w:val="24"/>
        </w:rPr>
        <w:t>the same effective January 2002 and that the Ministry’s Permanent Secretary has executed all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6818" w:rsidRPr="00AD5E09">
        <w:rPr>
          <w:rFonts w:ascii="Times New Roman" w:hAnsi="Times New Roman" w:cs="Times New Roman"/>
          <w:color w:val="000000"/>
          <w:sz w:val="24"/>
          <w:szCs w:val="24"/>
        </w:rPr>
        <w:t>the necessary documents/authorizations to that effect and was going to dispatch general circular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36818" w:rsidRPr="00AD5E09">
        <w:rPr>
          <w:rFonts w:ascii="Times New Roman" w:hAnsi="Times New Roman" w:cs="Times New Roman"/>
          <w:color w:val="000000"/>
          <w:sz w:val="24"/>
          <w:szCs w:val="24"/>
        </w:rPr>
        <w:t>to that effect to the School’s teachers and parents;</w:t>
      </w:r>
    </w:p>
    <w:p w:rsidR="00F36818" w:rsidRPr="00AD5E09" w:rsidRDefault="00AD5E09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( b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) P</w:t>
      </w:r>
      <w:r w:rsidR="00F36818" w:rsidRPr="00AD5E09">
        <w:rPr>
          <w:rFonts w:ascii="Times New Roman" w:hAnsi="Times New Roman" w:cs="Times New Roman"/>
          <w:color w:val="000000"/>
          <w:sz w:val="24"/>
          <w:szCs w:val="24"/>
        </w:rPr>
        <w:t>rior to the privatization no technical advice was sought;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( c</w:t>
      </w:r>
      <w:proofErr w:type="gram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AD5E09" w:rsidRPr="00AD5E0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Ministry did not consult the said Association nor any school parent”.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So that with regard to the date of the Minister’s decision, the first date mentioned by the Respondents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was 20 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ecember 2001 and the decision was to take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effect in January 2002. The Respondents went to court on 9 January 2002. In those circumstances,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J was entitled to assume at the stage of leave that the Respondents had gone for leave within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prescribed period. If it should turn out at the hearing of the motion </w:t>
      </w:r>
      <w:proofErr w:type="gram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itself</w:t>
      </w:r>
      <w:proofErr w:type="gram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that six months had elapsed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before leave was granted, the motion would then fail. It is to be noted that while the Minister who made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order was represented by the Attorney-General at the hearing of the motion to set aside, the Minister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did not himself contend that six months had elapsed since he made the order. Having considered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cases cited before him,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Waki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J disposed of this contention in the following manner: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“I think the guidelines cited do not require me to make any conclusive findings at that stage. There was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reference in the affidavit in support of the application to a fact that the existence of the order became known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on 20 December 2001, and the order/directive was to take effect in January 2002. Whether the actual order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would surface at the hearing of the Notice of Motion to put the matter beyond doubt is a matter envisaged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under Order LIII, rule 7 of the Civil Procedure Rules and is lawful procedure. If it turned out at the hearing of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motion that indeed the provisions of section 9 of the Law Reform Act apply then the Respondent or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interested parties would be vindicated. I have not even at the hearing of this application been persuaded that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the point of limitation will be a valid one. I remain with the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prima facie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view it is an arguable point on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material presented to me at the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ex parte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stage”.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With respect, we agree with the Learned Judge and that being our position grounds 1, 2 and 3 contained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in the memorandum of appeal must fail.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The second broad ground of appeal argued by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related to the issue of whether the 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chool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was to be “managed” by AKESK, or whether it was to be “alienated” or “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privatised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”, words used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variously in the chamber summons, and in the verifying affidavit. With the greatest respect to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Mr</w:t>
      </w:r>
      <w:proofErr w:type="spellEnd"/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>, we do not think that the use of those words in various documents could alter the basic position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which was being challenged by the Respondents, namely that the school was to be removed from among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public schools and </w:t>
      </w:r>
      <w:proofErr w:type="spellStart"/>
      <w:r w:rsidRPr="00AD5E09">
        <w:rPr>
          <w:rFonts w:ascii="Times New Roman" w:hAnsi="Times New Roman" w:cs="Times New Roman"/>
          <w:color w:val="000000"/>
          <w:sz w:val="24"/>
          <w:szCs w:val="24"/>
        </w:rPr>
        <w:t>categorised</w:t>
      </w:r>
      <w:proofErr w:type="spellEnd"/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as a private school to run only by AKESK. The existence of 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Minister’s decision was not denied by anyone and the purport of that decision was obviously to change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the status of the school from a public institution to a private one. The Respondents were parents with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children in that school and they alleged they were entitled or had a legitimate expectation to be heard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before the change of status took place. </w:t>
      </w: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Prima facie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, the Judge thought the Respondents had an arguable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case, even on the issue of their being heard. We also think so and confirm his conclusion that “The</w:t>
      </w:r>
      <w:r w:rsidR="00AD5E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splitting of hairs </w:t>
      </w:r>
      <w:r w:rsidR="000321A1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>terminology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is again not suitable at the stage of leave and I am not inclined to reverse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my view of the matter on that ground either”.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Lastly, it was contended that the statement of facts in support of the chamber summons did not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contain facts that could be verified by the </w:t>
      </w:r>
      <w:r w:rsidR="000321A1"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First 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>respondent’s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 affidavit. All we wish to state on this point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is that the statement of facts could have been better drafted, but that is not the same thing as saying that it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had no substance that the Learned Judge could consider and come to a decision on the issue of whether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or not to grant leave. He considered what was contained in the statement and in the verifying affidavit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and came to the conclusion that he must grant leave. We are far from convinced that the Judge’s decision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to grant leave was supported by no facts at all. Whether those facts are or are not sufficient to sustain the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Respondents’ case during the hearing of the motion itself is not a matter for us in the appeal. The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consequence of what we have said must be that grounds 4, 5, 6, 7, 8 and 9 of the grounds in the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memorandum of appeal must also fail.</w:t>
      </w:r>
    </w:p>
    <w:p w:rsidR="00F36818" w:rsidRPr="00AD5E09" w:rsidRDefault="00F36818" w:rsidP="00AD33F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lastRenderedPageBreak/>
        <w:t>That being our view of the matter, the Appellant’s appeal must accordingly fail. We order that the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appeal be and is hereby dismissed with costs to the Respondents.</w:t>
      </w:r>
    </w:p>
    <w:p w:rsidR="00F36818" w:rsidRPr="00AD5E09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For the Appellant:</w:t>
      </w:r>
      <w:r w:rsidR="000321A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36818" w:rsidRPr="00AD5E09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IT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Inamdar</w:t>
      </w:r>
      <w:proofErr w:type="spellEnd"/>
    </w:p>
    <w:p w:rsidR="00F36818" w:rsidRPr="00AD5E09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For the First, Second and Third Respondents:</w:t>
      </w:r>
    </w:p>
    <w:p w:rsidR="00F36818" w:rsidRPr="00AD5E09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CM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 xml:space="preserve">instructed by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Kigano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and Associates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Adv</w:t>
      </w:r>
      <w:proofErr w:type="spellEnd"/>
    </w:p>
    <w:p w:rsidR="00F36818" w:rsidRPr="00AD5E09" w:rsidRDefault="00F36818" w:rsidP="00F368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D5E09">
        <w:rPr>
          <w:rFonts w:ascii="Times New Roman" w:hAnsi="Times New Roman" w:cs="Times New Roman"/>
          <w:color w:val="000000"/>
          <w:sz w:val="24"/>
          <w:szCs w:val="24"/>
        </w:rPr>
        <w:t>For the Fourth Respondent:</w:t>
      </w:r>
    </w:p>
    <w:p w:rsidR="0021070D" w:rsidRDefault="00F36818" w:rsidP="00F36818"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 </w:t>
      </w:r>
      <w:proofErr w:type="spellStart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>Ngugi</w:t>
      </w:r>
      <w:proofErr w:type="spellEnd"/>
      <w:r w:rsidRPr="00AD5E09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D5E09">
        <w:rPr>
          <w:rFonts w:ascii="Times New Roman" w:hAnsi="Times New Roman" w:cs="Times New Roman"/>
          <w:color w:val="000000"/>
          <w:sz w:val="24"/>
          <w:szCs w:val="24"/>
        </w:rPr>
        <w:t>instructed by the Attorney-</w:t>
      </w:r>
      <w:r>
        <w:rPr>
          <w:rFonts w:ascii="Times New Roman" w:hAnsi="Times New Roman" w:cs="Times New Roman"/>
          <w:color w:val="000000"/>
        </w:rPr>
        <w:t>General</w:t>
      </w:r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18"/>
    <w:rsid w:val="000321A1"/>
    <w:rsid w:val="0021070D"/>
    <w:rsid w:val="00AD33F3"/>
    <w:rsid w:val="00AD5E09"/>
    <w:rsid w:val="00F3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5C0A0-33FC-4052-8D55-8EB068092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3123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2018-07-04T13:29:00Z</dcterms:created>
  <dcterms:modified xsi:type="dcterms:W3CDTF">2018-07-09T10:18:00Z</dcterms:modified>
</cp:coreProperties>
</file>