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D4" w:rsidRDefault="004B54AE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AGIP (K) LTD V VORA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Mombasa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February 2000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213/99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Land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Licence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agreement – Construction of clauses – Agreement expressly excludes any proprietary</w:t>
      </w:r>
      <w:r w:rsidR="004B54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interest to licensee – Whether equitable interest would be implied – Letter of termination – Whether</w:t>
      </w:r>
      <w:r w:rsidR="004B54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previous correspondence would be examined to examine basis and effect of the letter.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Land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Licence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agreement – Petrol service station – Breach of agreement by licensee – Whether</w:t>
      </w:r>
      <w:r w:rsidR="004B54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licensor entitled to terminate without notice – Injunction – Whether Order XXXIX, rule 1 would apply to</w:t>
      </w:r>
      <w:r w:rsidR="004B54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restore a licensee who has no registrable interest in land.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Practice and procedure – Injunction – Temporary injunction – Principles for grant – Licensee had</w:t>
      </w:r>
      <w:r w:rsidR="004B54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not claimed any proprietary interest in the land – Whether grant of injunction appropriate – Whether</w:t>
      </w:r>
      <w:r w:rsidR="004B54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mandatory injunction would be granted to restore licensee into occupation.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Since 1977 </w:t>
      </w:r>
      <w:proofErr w:type="spellStart"/>
      <w:r>
        <w:rPr>
          <w:rFonts w:ascii="Times New Roman" w:hAnsi="Times New Roman" w:cs="Times New Roman"/>
          <w:color w:val="000000"/>
        </w:rPr>
        <w:t>Vora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operating a service station under various Operator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Agreements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(OLAs) with </w:t>
      </w:r>
      <w:proofErr w:type="spellStart"/>
      <w:r>
        <w:rPr>
          <w:rFonts w:ascii="Times New Roman" w:hAnsi="Times New Roman" w:cs="Times New Roman"/>
          <w:color w:val="000000"/>
        </w:rPr>
        <w:t>Agip</w:t>
      </w:r>
      <w:proofErr w:type="spellEnd"/>
      <w:r>
        <w:rPr>
          <w:rFonts w:ascii="Times New Roman" w:hAnsi="Times New Roman" w:cs="Times New Roman"/>
          <w:color w:val="000000"/>
        </w:rPr>
        <w:t xml:space="preserve"> (K) Ltd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current OLA was made and dated February 1993. One of the clauses in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agreement required </w:t>
      </w:r>
      <w:proofErr w:type="spellStart"/>
      <w:r>
        <w:rPr>
          <w:rFonts w:ascii="Times New Roman" w:hAnsi="Times New Roman" w:cs="Times New Roman"/>
          <w:color w:val="000000"/>
        </w:rPr>
        <w:t>Vora</w:t>
      </w:r>
      <w:proofErr w:type="spellEnd"/>
      <w:r>
        <w:rPr>
          <w:rFonts w:ascii="Times New Roman" w:hAnsi="Times New Roman" w:cs="Times New Roman"/>
          <w:color w:val="000000"/>
        </w:rPr>
        <w:t xml:space="preserve"> to maintain sufficient stocks of fuel. </w:t>
      </w:r>
      <w:proofErr w:type="spellStart"/>
      <w:r>
        <w:rPr>
          <w:rFonts w:ascii="Times New Roman" w:hAnsi="Times New Roman" w:cs="Times New Roman"/>
          <w:color w:val="000000"/>
        </w:rPr>
        <w:t>Agip</w:t>
      </w:r>
      <w:proofErr w:type="spellEnd"/>
      <w:r>
        <w:rPr>
          <w:rFonts w:ascii="Times New Roman" w:hAnsi="Times New Roman" w:cs="Times New Roman"/>
          <w:color w:val="000000"/>
        </w:rPr>
        <w:t xml:space="preserve"> (K) Ltd reserved the right to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terminate the agreement without notice for breach of this clause. The only consideration to </w:t>
      </w:r>
      <w:proofErr w:type="spellStart"/>
      <w:r>
        <w:rPr>
          <w:rFonts w:ascii="Times New Roman" w:hAnsi="Times New Roman" w:cs="Times New Roman"/>
          <w:color w:val="000000"/>
        </w:rPr>
        <w:t>Agip</w:t>
      </w:r>
      <w:proofErr w:type="spellEnd"/>
      <w:r>
        <w:rPr>
          <w:rFonts w:ascii="Times New Roman" w:hAnsi="Times New Roman" w:cs="Times New Roman"/>
          <w:color w:val="000000"/>
        </w:rPr>
        <w:t xml:space="preserve"> (K) Ltd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was a standard charge in the fuel supplied to </w:t>
      </w:r>
      <w:proofErr w:type="spellStart"/>
      <w:r>
        <w:rPr>
          <w:rFonts w:ascii="Times New Roman" w:hAnsi="Times New Roman" w:cs="Times New Roman"/>
          <w:color w:val="000000"/>
        </w:rPr>
        <w:t>Vora</w:t>
      </w:r>
      <w:proofErr w:type="spellEnd"/>
      <w:r>
        <w:rPr>
          <w:rFonts w:ascii="Times New Roman" w:hAnsi="Times New Roman" w:cs="Times New Roman"/>
          <w:color w:val="000000"/>
        </w:rPr>
        <w:t xml:space="preserve"> for sale. In February and March 1999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Agip</w:t>
      </w:r>
      <w:proofErr w:type="spellEnd"/>
      <w:r>
        <w:rPr>
          <w:rFonts w:ascii="Times New Roman" w:hAnsi="Times New Roman" w:cs="Times New Roman"/>
          <w:color w:val="000000"/>
        </w:rPr>
        <w:t xml:space="preserve"> (K) Ltd wrote two letters to </w:t>
      </w:r>
      <w:proofErr w:type="spellStart"/>
      <w:r>
        <w:rPr>
          <w:rFonts w:ascii="Times New Roman" w:hAnsi="Times New Roman" w:cs="Times New Roman"/>
          <w:color w:val="000000"/>
        </w:rPr>
        <w:t>Vora</w:t>
      </w:r>
      <w:proofErr w:type="spellEnd"/>
      <w:r>
        <w:rPr>
          <w:rFonts w:ascii="Times New Roman" w:hAnsi="Times New Roman" w:cs="Times New Roman"/>
          <w:color w:val="000000"/>
        </w:rPr>
        <w:t xml:space="preserve"> complaining that </w:t>
      </w:r>
      <w:proofErr w:type="spellStart"/>
      <w:r>
        <w:rPr>
          <w:rFonts w:ascii="Times New Roman" w:hAnsi="Times New Roman" w:cs="Times New Roman"/>
          <w:color w:val="000000"/>
        </w:rPr>
        <w:t>Vora</w:t>
      </w:r>
      <w:proofErr w:type="spellEnd"/>
      <w:r>
        <w:rPr>
          <w:rFonts w:ascii="Times New Roman" w:hAnsi="Times New Roman" w:cs="Times New Roman"/>
          <w:color w:val="000000"/>
        </w:rPr>
        <w:t xml:space="preserve"> was not maintaining sufficient stocks of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fuel.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June 1999 </w:t>
      </w:r>
      <w:proofErr w:type="spellStart"/>
      <w:r>
        <w:rPr>
          <w:rFonts w:ascii="Times New Roman" w:hAnsi="Times New Roman" w:cs="Times New Roman"/>
          <w:color w:val="000000"/>
        </w:rPr>
        <w:t>Agip</w:t>
      </w:r>
      <w:proofErr w:type="spellEnd"/>
      <w:r>
        <w:rPr>
          <w:rFonts w:ascii="Times New Roman" w:hAnsi="Times New Roman" w:cs="Times New Roman"/>
          <w:color w:val="000000"/>
        </w:rPr>
        <w:t xml:space="preserve"> (K) Ltd wrote a letter terminating the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agreement, allegedly for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non-compliance with the minimum stocks requirement. </w:t>
      </w:r>
      <w:proofErr w:type="spellStart"/>
      <w:r>
        <w:rPr>
          <w:rFonts w:ascii="Times New Roman" w:hAnsi="Times New Roman" w:cs="Times New Roman"/>
          <w:color w:val="000000"/>
        </w:rPr>
        <w:t>Agip</w:t>
      </w:r>
      <w:proofErr w:type="spellEnd"/>
      <w:r>
        <w:rPr>
          <w:rFonts w:ascii="Times New Roman" w:hAnsi="Times New Roman" w:cs="Times New Roman"/>
          <w:color w:val="000000"/>
        </w:rPr>
        <w:t xml:space="preserve"> (K) Ltd then without notice installed guards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security at the service station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thereby bringing </w:t>
      </w:r>
      <w:proofErr w:type="spellStart"/>
      <w:r>
        <w:rPr>
          <w:rFonts w:ascii="Times New Roman" w:hAnsi="Times New Roman" w:cs="Times New Roman"/>
          <w:color w:val="000000"/>
        </w:rPr>
        <w:t>Vora’s</w:t>
      </w:r>
      <w:proofErr w:type="spellEnd"/>
      <w:r>
        <w:rPr>
          <w:rFonts w:ascii="Times New Roman" w:hAnsi="Times New Roman" w:cs="Times New Roman"/>
          <w:color w:val="000000"/>
        </w:rPr>
        <w:t xml:space="preserve"> business to a standstill. In response, </w:t>
      </w:r>
      <w:proofErr w:type="spellStart"/>
      <w:r>
        <w:rPr>
          <w:rFonts w:ascii="Times New Roman" w:hAnsi="Times New Roman" w:cs="Times New Roman"/>
          <w:color w:val="000000"/>
        </w:rPr>
        <w:t>Vora</w:t>
      </w:r>
      <w:proofErr w:type="spellEnd"/>
      <w:r>
        <w:rPr>
          <w:rFonts w:ascii="Times New Roman" w:hAnsi="Times New Roman" w:cs="Times New Roman"/>
          <w:color w:val="000000"/>
        </w:rPr>
        <w:t xml:space="preserve"> filed the suit herein and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simultaneously brought an interlocutory application under Order XXXIX, rules 1, 2 and 3 seeking to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restrain </w:t>
      </w:r>
      <w:proofErr w:type="spellStart"/>
      <w:r>
        <w:rPr>
          <w:rFonts w:ascii="Times New Roman" w:hAnsi="Times New Roman" w:cs="Times New Roman"/>
          <w:color w:val="000000"/>
        </w:rPr>
        <w:t>Agip</w:t>
      </w:r>
      <w:proofErr w:type="spellEnd"/>
      <w:r>
        <w:rPr>
          <w:rFonts w:ascii="Times New Roman" w:hAnsi="Times New Roman" w:cs="Times New Roman"/>
          <w:color w:val="000000"/>
        </w:rPr>
        <w:t xml:space="preserve"> (K) Ltd from evicting it or interfering with its operation of the business pending the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the suit.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court held that the purported termination letter was inadequate in respect of notifying the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Respondents of the reasons for the said termination. Further that the investments in the business by </w:t>
      </w:r>
      <w:proofErr w:type="spellStart"/>
      <w:r>
        <w:rPr>
          <w:rFonts w:ascii="Times New Roman" w:hAnsi="Times New Roman" w:cs="Times New Roman"/>
          <w:color w:val="000000"/>
        </w:rPr>
        <w:t>Vora</w:t>
      </w:r>
      <w:proofErr w:type="spellEnd"/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created goodwill and an equitable right to possession of the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property. The court therefore granted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injunction as prayed.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appeal it was contended for </w:t>
      </w:r>
      <w:proofErr w:type="spellStart"/>
      <w:r>
        <w:rPr>
          <w:rFonts w:ascii="Times New Roman" w:hAnsi="Times New Roman" w:cs="Times New Roman"/>
          <w:color w:val="000000"/>
        </w:rPr>
        <w:t>Agip</w:t>
      </w:r>
      <w:proofErr w:type="spellEnd"/>
      <w:r>
        <w:rPr>
          <w:rFonts w:ascii="Times New Roman" w:hAnsi="Times New Roman" w:cs="Times New Roman"/>
          <w:color w:val="000000"/>
        </w:rPr>
        <w:t xml:space="preserve"> (K) Ltd that the termination letter, as read with previous</w:t>
      </w:r>
      <w:r w:rsidR="004B54AE">
        <w:rPr>
          <w:rFonts w:ascii="Times New Roman" w:hAnsi="Times New Roman" w:cs="Times New Roman"/>
          <w:color w:val="000000"/>
        </w:rPr>
        <w:t xml:space="preserve"> c</w:t>
      </w:r>
      <w:r>
        <w:rPr>
          <w:rFonts w:ascii="Times New Roman" w:hAnsi="Times New Roman" w:cs="Times New Roman"/>
          <w:color w:val="000000"/>
        </w:rPr>
        <w:t>orrespondence between the parties, was clear and unambiguous. Further, that no application lay under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Order XXXIX, rule 1 as the OLA denied </w:t>
      </w:r>
      <w:proofErr w:type="spellStart"/>
      <w:r>
        <w:rPr>
          <w:rFonts w:ascii="Times New Roman" w:hAnsi="Times New Roman" w:cs="Times New Roman"/>
          <w:color w:val="000000"/>
        </w:rPr>
        <w:t>Vora</w:t>
      </w:r>
      <w:proofErr w:type="spellEnd"/>
      <w:r>
        <w:rPr>
          <w:rFonts w:ascii="Times New Roman" w:hAnsi="Times New Roman" w:cs="Times New Roman"/>
          <w:color w:val="000000"/>
        </w:rPr>
        <w:t xml:space="preserve"> any interest in the land, buildings or equipment therein. It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also argued that no equitable right could be created to oust the express provisions of a written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licence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4B54AE" w:rsidRDefault="004B54AE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To understand the termination letter one must of necessity look at the previous letters. Since no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was required to terminate the agreement for non-maintenance of sufficient stocks, it was enough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termination letter to identify this breach for the termination to be effective.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temporary injunction under Order XXXIX, rule 1 could only be granted where the applicant had an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in the land, or on the basis that the respondent threatened to dispose of the property in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that could delay execution of any decree that would be passed against it. This situation did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apply in the suit herein.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present case, </w:t>
      </w:r>
      <w:proofErr w:type="spellStart"/>
      <w:r>
        <w:rPr>
          <w:rFonts w:ascii="Times New Roman" w:hAnsi="Times New Roman" w:cs="Times New Roman"/>
          <w:color w:val="000000"/>
        </w:rPr>
        <w:t>Vora</w:t>
      </w:r>
      <w:proofErr w:type="spellEnd"/>
      <w:r>
        <w:rPr>
          <w:rFonts w:ascii="Times New Roman" w:hAnsi="Times New Roman" w:cs="Times New Roman"/>
          <w:color w:val="000000"/>
        </w:rPr>
        <w:t xml:space="preserve"> was, by a clause in the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>, denied any interest in the land thereby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preventing the creation of any equity upon which an application under Order XXXIX, rule 1 could be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based</w:t>
      </w:r>
      <w:r>
        <w:rPr>
          <w:rFonts w:ascii="Times New Roman" w:hAnsi="Times New Roman" w:cs="Times New Roman"/>
          <w:i/>
          <w:iCs/>
          <w:color w:val="000000"/>
        </w:rPr>
        <w:t xml:space="preserve">. Errington v Errington and Woods </w:t>
      </w:r>
      <w:r>
        <w:rPr>
          <w:rFonts w:ascii="Times New Roman" w:hAnsi="Times New Roman" w:cs="Times New Roman"/>
          <w:color w:val="000000"/>
        </w:rPr>
        <w:t>[1952] 1 KB 290 distinguished.</w:t>
      </w:r>
    </w:p>
    <w:p w:rsidR="004B54AE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>: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whether the order of restoration was appropriate: (a) where the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has been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effectively terminated, as in this case, an order of restoration would be improper unless the Applicant had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prayed for a mandatory injunction; (b) this Court has held more than once that interlocutory mandatory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injunction should only be granted with reluctance and in very special circumstances. </w:t>
      </w:r>
      <w:r>
        <w:rPr>
          <w:rFonts w:ascii="Times New Roman" w:hAnsi="Times New Roman" w:cs="Times New Roman"/>
          <w:i/>
          <w:iCs/>
          <w:color w:val="000000"/>
        </w:rPr>
        <w:t>The Despina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Pontikos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[1975] EA 38 approved. (ii) On whether damages could compensate the licensee: since the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licensee was not given proprietary possession of the station, any losses that may have arisen on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termination could be quantified in damages.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Gusii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Mwalimu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Investment Co Ltd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Mwalimu</w:t>
      </w:r>
      <w:proofErr w:type="spellEnd"/>
      <w:r w:rsidR="004B54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Hotel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Kisii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>[1995] LLR 396 (CAK) distinguished. (iii) The trial court erred in delving into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substantive issues and making finally concluded views thereon. The court was only required to determine</w:t>
      </w:r>
      <w:r w:rsidR="004B5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whether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 had been established.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Gusii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Mwalimu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Investment Co Ltd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Mwalimu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Hotel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Kisii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 xml:space="preserve">[1995] LLR 396 (CAK)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The Despina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Pontikos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[1975] EA 38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3020D4" w:rsidRDefault="003020D4" w:rsidP="0030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640CC" w:rsidRDefault="003020D4" w:rsidP="003020D4">
      <w:r>
        <w:rPr>
          <w:rFonts w:ascii="Times New Roman" w:hAnsi="Times New Roman" w:cs="Times New Roman"/>
          <w:i/>
          <w:iCs/>
          <w:color w:val="000000"/>
        </w:rPr>
        <w:t>Errington v</w:t>
      </w:r>
    </w:p>
    <w:sectPr w:rsidR="0026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D4"/>
    <w:rsid w:val="002640CC"/>
    <w:rsid w:val="003020D4"/>
    <w:rsid w:val="004B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97E27-BB91-413B-8C35-519B75DD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2018-07-05T09:42:00Z</dcterms:created>
  <dcterms:modified xsi:type="dcterms:W3CDTF">2018-07-09T10:23:00Z</dcterms:modified>
</cp:coreProperties>
</file>