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0D" w:rsidRDefault="00FD2456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AGIP (K) LTD V VORA</w:t>
      </w:r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Mombasa</w:t>
      </w:r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213/99</w:t>
      </w:r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61B0D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FD2456" w:rsidRDefault="00FD2456" w:rsidP="00FD2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D61B0D" w:rsidRDefault="00FD2456" w:rsidP="00FD2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D2456" w:rsidRDefault="00D61B0D" w:rsidP="00D6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LAKHA AND KEIWUA JJA: 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Respondents in this appeal instituted a suit against 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Appellant,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(Kenya) Limited (“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”) in the superior court, at Mombasa, claiming that 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FD2456">
        <w:rPr>
          <w:rFonts w:ascii="Times New Roman" w:hAnsi="Times New Roman" w:cs="Times New Roman"/>
          <w:color w:val="000000"/>
          <w:sz w:val="24"/>
          <w:szCs w:val="24"/>
        </w:rPr>
        <w:t>Respondents have since 1977 been operating a service station known as Tusks Service Station (“the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station”), situated along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Moi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Avenue, Mombasa. The Respondents’ operation of the station has been a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subject of a series of operator’s Licence agreements granted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 The Operator’s Licence Agreement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which was current at the time, prior to the institution of the suit, was made and dated 16 February 1993.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on 19 June 1999 served on the Respondents a letter dated 17 June 1999, and whose effect was to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summarily terminate the Respondents’ licence.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soon thereafter, without notice to the Respondents,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placed security guards in and around the station, thereby bringing business to a standstill. The guards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cleared the station and locked the Respondents’ offices, rendering the premises inaccessible. All that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happened despite the fact that the Respondents had met and observed their obligations in the licence. 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Respondents have sold and striven to sell the prescribed minimum quantities of petroleum products. 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Respondents have also made immense investment in money, equipment and goodwill, which cannot be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measured in money. The Respondents, accordingly, filed suit because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threatened and intended,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unless restrained by the court, to unlawfully terminate the licence or evict or stop the Respondents from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running the station. The Respondents complained that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had failed and refused to withdraw the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security guards or remove the padlocks.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On the basis of the said suit, the Respondents applied before the superior court, under the provisions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of Order XXXIX, rules 1, 2 and 3 of the Civil Procedure Rules, for an injunction, to have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restrained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from evicting, stopping or in any other way interfering with the Respondents’ operation of the station,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pending the hearing of the suit. The Respondents also sought to have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restrained from terminating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licence. The Respondents complained that the reference in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letter dated 17 June 1999, to a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licence granted on 15 September 1992, in the termination letter is attributed to an error, as that licence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dated 16 February 1993 was made to take effect on 15 September 1992.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Subject to clause 16, the licence was to continue in force, until terminated by either party by thirty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days’ notice. The parties intended that in matters falling under clause 16 of the licence, the thirty day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notice requirement was not to apply. The licence at clause 6 thereof, makes it clear that for the licence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Respondents have not been required to give any consideration, by payment of monthly lice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nce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fees.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What has been provided is a charge, for the supply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to the Respondents, of a litre of petroleum,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gasoline and kerosene products. The Respondent</w:t>
      </w:r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s have to pay </w:t>
      </w:r>
      <w:proofErr w:type="spellStart"/>
      <w:r w:rsidR="00A760CF">
        <w:rPr>
          <w:rFonts w:ascii="Times New Roman" w:hAnsi="Times New Roman" w:cs="Times New Roman"/>
          <w:color w:val="000000"/>
          <w:sz w:val="24"/>
          <w:szCs w:val="24"/>
        </w:rPr>
        <w:t>KCts</w:t>
      </w:r>
      <w:proofErr w:type="spellEnd"/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proofErr w:type="gramStart"/>
      <w:r w:rsidR="00A760CF">
        <w:rPr>
          <w:rFonts w:ascii="Times New Roman" w:hAnsi="Times New Roman" w:cs="Times New Roman"/>
          <w:color w:val="000000"/>
          <w:sz w:val="24"/>
          <w:szCs w:val="24"/>
        </w:rPr>
        <w:t>,0</w:t>
      </w:r>
      <w:proofErr w:type="gramEnd"/>
      <w:r w:rsidR="00A760CF">
        <w:rPr>
          <w:rFonts w:ascii="Times New Roman" w:hAnsi="Times New Roman" w:cs="Times New Roman"/>
          <w:color w:val="000000"/>
          <w:sz w:val="24"/>
          <w:szCs w:val="24"/>
        </w:rPr>
        <w:t xml:space="preserve"> for such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litre.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learned Commissioner, in his ruling, appears to us to have not taken into account the provisions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of clause 10(1) of the licence, which required the Respondents to maintain adequate stocks of the various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petroleum products marketed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 That requirement to maintain adequa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te stocks must, in our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view,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be read together with clause 16(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) of the licence, which conferred on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lastRenderedPageBreak/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the right to terminate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licence without notice, on the failure of the Respondents to sell minimum quarterly quantities of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petroleum products.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in its letter dated 25 February 1999 informed the Respondents of their failure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during certain days in the month of February 1999, to maintain at all, any quantity of super petrol.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letter concludes: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“Please refer to clause 10(1) of the operator’s Agreement which stipulates that you should maintain adequate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stock at your station. It was for the sake of maintaining the company’s image that the company salvaged you.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Please can we have good reasons as to why the station has been having frequent stock runouts”</w:t>
      </w:r>
      <w:proofErr w:type="gram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Respondents did not bother to respond to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request. Instead, the Respondents filed the suit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superior court, on the basis whereof they obtained orders barring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from evicting them and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terminating the licence. It is from those orders,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has appealed to this Court. Grounds 1 to 3 of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appeal were argued together, while grounds 4, 5, 6, 7 and 8 thereof were also grouped together. Ground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15 was argued alone as was ground 17; grounds 18, 19 and 20 were clustered together. Broadly put,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first set of grounds of appeal are, the learned Commissioner erred, in holding that the letter of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termination did not rely on clause 10(1) or that clause 16 did not entitle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to summarily revoke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licence, or that the letter of termination was ambiguous. This set of g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rounds arises from the findings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Commissioner, which appear at pages 5 and 6 of his ruling, wherein he said: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“In addition to the above material from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Vora’s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affidavit there is a replying affidavit sworn by one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Lawrence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Kinyanjui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on 23 June 1999 and filed on behalf of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on the same day. He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depones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Vora’s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affidavit contains ‘blatant falsehoods’ and that the Plaintiffs failed to maintain adequate stocks of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products, in contravention of clause 10(1) and further that the situation was so severe that on two occasions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complained by letters dated 25 February 1999 (‘LK1’) and 1 March 1999 (‘LK2’). It is worthy of note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that the letter of termination above does not seek to rely on clause 10(1) but I shall advert to that later”.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At page 13 the Commissioner adverted to the termination letter and said: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“Reverting to the letter, it is noted that no particulars are given of the breaches of clause 10(1); nor are any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given of failure to sell minimum quarterly quantities; and is not shown how failure to maintain stocks is a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breach of OLA. In the affidavit of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Kinyanjui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relies on the breach of clause 10(1) which is mentioned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 the said letter”.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With regard to the letters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sent to the Respondents as a prelude to the termination, carried in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letter of 17 June 1999, the Commissioner, at page 15 of his ruling said: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“Finally,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Lumatete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asks that the court looks at the evidence presented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through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Kinyanjui’s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affidavit. At this stage the documents, the court ought to examine are only the OLA and the letter of 17 June,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1999. The OLA is the base document and the letter is the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all important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instrument and prime mover. For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reasons given above, evidence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dehors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, the letter ought not to be considered and are of peripheral, if any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significance. I have however, looked at them. The letters 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xhibited do not aid </w:t>
      </w:r>
      <w:proofErr w:type="spellStart"/>
      <w:r w:rsid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in any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meaningful way as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they merely pointed out the unsatisfactory state of business and were not intended to be a notice of any kind”.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With tremendous respect, the learned Commissioner plainly misdirected himself, in restricting the scope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of materials he was supposed to look at in order to ascertain if the Respondents had or had not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established a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case with a probability of success. In our judgment, the Commissioner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occasioned several fundamental errors in his holding that the letter of termination did not rely on clause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10(1) and that any evidence, before the letter terminating the licence, was to be ignored, as such evidence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was of peripheral significance. The Commissioner fell into error in hi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s view that the letters sent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to the Respondents, prior to the termination, did not assist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 The Commissioner has clearly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misapprehended the purpose for which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sent those letters to the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lastRenderedPageBreak/>
        <w:t>Respondents. The Commissioner,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our view, fell into error, in holding, as he did, that the letter of termination was inadequate for its purpose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of notifying the Respondents of the reasons which brought about the termination of the licence. In our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judgment, the letter dated 17 June 1999 sufficiently addressed the reasons for the termination, being,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Respondent’s failure on divers dates, to maintain adequate stocks of products, whose details had been set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out, not only in the termination letter, but in those preceding it.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To be able to understand the termination letter one must, of necessity, look at the previous letters.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our judgment, the Commissioner was wrong, in finding that the letters written prior to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termination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letter purported to be a notice. He also erred in concluding at that stage of the proceedings, that any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requisite notice was not given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 The letter of termination pointed to the Respondents’ failure to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sell minimum quarterly quantities of petroleum products, which the Respondents were to sell under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licence. Clause 10(1) of the licence required the Respondents to maintain adequate stocks of products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and accordingly, in our opinion, any reference in the termination letter to any such failure, invoked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provisions of that clause 10(1). That, to our mind, is more so, given the fact that in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letters dated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25 February 1999 and 1 March 1999, the breach of clause 10(1) had been brought to the attention of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Respondents.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second set of grounds of appeal are 4, 5, 6, 7 and 8, in which one of the complaints is that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learned Commissioner erred in holding that Order XXXIX, rule 1 of the Civil Procedure Rules was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properly invoked by the Respondents. That finding is submitted not to be sustainable, in view of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provisions of clause 3 of the licence, which denied the Respondents any interest in the land or in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buildings or in any equipment in the station. The Commissioner is said to have erred in holding that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licence was not clear and was ambiguous, as to what the Respondents and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intended. In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application of the rule of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contra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preferentum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Commissioner wrongly imposed his own terms and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intentions on the parties. Such imposition is submitted to be unnecessary, as the Commissioner’s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interpretation had not been intended by the parties. The Commissioner misdirected himself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disregarding the binding effect of the licence and that the licence governed the relationship between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and the Respondents.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As to whether the Respondents in their application correctly invoked Order 39, rule 1 of the Civil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Procedure Rules, the learned Commissioner at pages 6 and 7 of the ruling observed: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“At the outset I need to deal with the first objection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Lumatete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, learned counsel for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, who submitted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that Rule 1 of Order XXXIX cannot be invoked in this application as the Plaintiffs never had an interest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land in so far as the suit property 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concerned. OLA merely gave the Plaintiffs a bare licence and that was not an interest capable of registration.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Accordingly, he submitted that the Plaintiffs could not be heard to complain of the suit property being wasted,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damaged or alienated”.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It is, as well, at this juncture, if we quote Order XXXIX, rule 1 of the Civil Procedure Rules which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provides: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“1. Where in any suit it is proved by affidavit or otherwise: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D2456" w:rsidRPr="00FD2456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any property in dispute in a suit is in danger of being wasted, damaged or alienated by any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part to the suit, or wrongfully sold in execution of a decree or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D2456" w:rsidRPr="00FD2456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the Defendant threatens or intends to remove or dispose of his property in circumstances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affording reasonable probability that the Plaintiff will or may be obstructed or delayed in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execution of any decree that may be passed against the Defendant in the suit, the court may by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order grant a temporary injunction to restrain such act, or make such other order for the purpose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of staying and preventing the wasting, damaging, alienation, sale, removal, or disposition of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property as the court thinks fit until the disposal of the suit or until further orders”.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lastRenderedPageBreak/>
        <w:t>We call attention to the prayers of the Respondents’ application, before the learned Commissioner. That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application in its relevant parts prayed for orders that:</w:t>
      </w:r>
    </w:p>
    <w:p w:rsidR="00D61B0D" w:rsidRPr="00FD2456" w:rsidRDefault="00FD2456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“1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2. That the Defendant be restrained by itself, its agents and or servants from evicting, stopping or in any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other way interfering with the Plaintiff’s operation of Tusks Service Station pending the hearing of this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suit or further orders of the court.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3. That the Defendant be restrained from terminating the Plaintiff’s operator Licence Agreement”.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It is quite evident, from the prayers in the </w:t>
      </w:r>
      <w:r w:rsidR="00FD2456" w:rsidRPr="00FD2456">
        <w:rPr>
          <w:rFonts w:ascii="Times New Roman" w:hAnsi="Times New Roman" w:cs="Times New Roman"/>
          <w:color w:val="000000"/>
          <w:sz w:val="24"/>
          <w:szCs w:val="24"/>
        </w:rPr>
        <w:t>application that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the Respondents sought to stop interference by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with what they perceived to be their rights under the licence. We are absolutely clear in our mind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that the Respondents did not seek any order on the basis that any property which is in dispute, in the suit,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was in danger of being wasted, damaged or alienated or was wrongfully to be sold by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Respondents did not go to the superior court, on the basis of an application that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threatened or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intended to remove or dispose of its property, being the station, in any circumstance affording a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probability that the Respondents will be obstructed in the execution of any decree in the suit. It is our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view therefore, that Order XXXIX, rule 1 of the Civil Procedure Rules cannot be invoked in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circumstances of this case, to found a prayer for injunction. The learned Commissioner, in our judgment,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was wrong to have granted the injunction orders having as their basis Order XXXIX, rule 1 of the said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Rules.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other group of grounds of appeal is 9, 10, 11 and 12, the complaints being that the case of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Errington v Errington and Woods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[1952] 1KB 290, relied upon by the Commissioner, was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distinguishable from the present case which has, as its basis, a written licence while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Errington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had none.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 this present case, the Respondents were by clause 3 of the licence denied any interest in the land,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thereby preventing the creation of any equity upon which an application under Order XXXIX, rule 1,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may be based. It was wrong to grant an injunction after the termination of the licence which was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tantamount </w:t>
      </w:r>
      <w:r w:rsidR="00FD2456"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>restoration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of a validly terminated licence. In our judgment, it is only where mandatory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injunction has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been prayed for, which has not been explicitly sought in this case, that such an injunction may be granted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to restore into possession a party who has been wrongly dispossessed.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last group of grounds of appeal is 18, 19 and 20 which complain that the Commissioner erred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finding that the Respondents had built up immense goodwill. That finding was despite the fact that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licence only granted the Respondents the use of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name in connection with the business in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station. There is merit in this ground, and we are of the view that the learned Commissioner misdirected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himself, particularly in view of the provisions of clause 3 of the licence which reserved possession of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station to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With reference to ground 19 of the appeal, it is as well to remember that the Commissioner had before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him an application, which by law required him to consider whether on all the facts in support or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opposition thereof, a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case with a probability of success had been made out to justify the grant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of an injunction. In our view, the Commissioner was not entitled to delve into substantive issues and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make finally concluded views of the dispute. He was not, at that interlocutory stage of the matter, to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condemn one of the parties before hearing the oral evidence that party being condemned had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opposition to the claims in the suit. The remarks by the Commissioner at page16 of his ruling to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effect that: “in conclusion I wish to deprecate the most callous manner in which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conducted itself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removing the Plaintiffs from the suit property. It is a factor which was weighed heavily against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considering discretion under the application were, with great respect to him, totally inappropriate at this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stage of the proceedings”.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Court of Appeal for East Africa in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Despina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Pontikos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[1975] EA 38 at 57 said: “We turn now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to the substantive issue, which is whether the mandatory injunction ought to have been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lastRenderedPageBreak/>
        <w:t>granted. We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would begin by remarking that this Court has held more than once that interlocutory mandatory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injunction should only be granted with reluctance and in very special circumstances”.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We agree with these observations and we think there were no special circumstances in the present</w:t>
      </w:r>
    </w:p>
    <w:p w:rsidR="00D61B0D" w:rsidRPr="00FD2456" w:rsidRDefault="00FD2456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Case</w:t>
      </w:r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to warrant the grant of the mandatory injunction. The licence contained provisions under which,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occurrence of specified events, </w:t>
      </w:r>
      <w:proofErr w:type="spellStart"/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might terminate it without recourse to court. That was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>agreement made by the parties and they must be taken to have known and intended the consequences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1B0D" w:rsidRPr="00FD2456">
        <w:rPr>
          <w:rFonts w:ascii="Times New Roman" w:hAnsi="Times New Roman" w:cs="Times New Roman"/>
          <w:color w:val="000000"/>
          <w:sz w:val="24"/>
          <w:szCs w:val="24"/>
        </w:rPr>
        <w:t>their agreement.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court in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Despina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Pontikos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case, continued: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“On the other hand, the issue of an injunction is in exercise of discretion and it is well established that this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Court will only interfere with the exercise of his discretion by a trial judge in exceptional circumstances,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though it will not hesitate to do so if the exercise of the discretion has been based on any wrong principles”.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We have elsewhere in our judgment found that evidence which ought to have been considered by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Commissioner was wrongly excluded or considered by him to be of peripheral significance that resulted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 the exercise of discretion being based on wrong principles.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The other aspect of the case, in which the learned Commissioner wrongly exercised his discretion, 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with regard to whether damages would compensate the Respondents. The Commissioner did misdirect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himself in his finding that the Respondents will not be able to find another station as good as Tusks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Service Station. To begin with, the Respondents were not, by the licence,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given possession of the station. In which event, the Respondents’ losses (if any), which might have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ensued from the termination of the licence, can be measured in damages.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Court of Appeal for East Africa at page 57 of </w:t>
      </w: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Despina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Pontikos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case added: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“Finally, in deciding whether to grant an equitable relief, a court is entitled to take into account the conduct of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parties. The judge clearly thought that the Defendants had been pursuing a policy of procrastination, if not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evasion. On the material before us, we think that view was justified”.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In the present case, the Respondents’ conduct appears to us to verge on evasion when the letters of 25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February and 1 March 1999 are looked at. That was conduct which the Commissioner ought to have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taken into account and he, by excluding those letters, exercised his discretion on wrong principles.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last ground of appeal appears to us to be a summary of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Agip’s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complaints, regarding the manner in which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 learned Commissioner exercised his discretion. That ground has adequately been covered in our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findings respecting the other grounds of appeal.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case of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Gusii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Mwalimu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Investment Co Ltd and others v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Mwalimu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Hotel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Kisii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Ltd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[1995] LLR 396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(CAK) was relied upon by the Respondents. The case concerned a landlord and tenant relationship. In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our view, this cannot assist as the present appeal concerns a licence.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At page 5 of that case as per Shah JA: “The very act of levying distress in this particular case shows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the existence of a tenancy”. To that finding,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Lakha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JA who was the third member of that bench, robustly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disagreed, in his dissenting judgment. Like in the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Gusii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Mwalimu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Investment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case, there was no prayer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for a mandatory injunction, in the present case. The application for interlocutory injunction had in this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case been filed after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had terminated the licence and the Respondents had been out of the station.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That again is another reason why that case will not assist the Respondents.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At page 12 of his judgment in the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Gusii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Mwalimu</w:t>
      </w:r>
      <w:proofErr w:type="spellEnd"/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Investment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Lakha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JA observed: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“Secondly and, more importantly, there was no prayer for a mandatory injunction in the application before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Learned Judge. The application was filed on 25 May 1995 well after the possession of the suit property had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been handed over to the First Appellant. There is no explanation why a mandatory injunction could not have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been prayed for. Indeed neither the plaint nor the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lastRenderedPageBreak/>
        <w:t>application seeks a mandatory injunction. In granting it,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therefore, it appears to me that the Learned Judge gave relief which was neither sought nor urged before him.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That, in my judgment, he was not, with respect, entitled to do …</w:t>
      </w:r>
      <w:r w:rsidR="00FD2456" w:rsidRPr="00FD2456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For all these reasons, we think there is merit in the appeal which we accordingly allow and set aside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order made by the Learned Commissioner on 8 July 1999. It also follows that the Respondents’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>application to the superior court dated 21 June 1999 must be, and it is hereby dismissed with costs. The</w:t>
      </w:r>
      <w:r w:rsidR="00FD2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Respondents shall pay to </w:t>
      </w:r>
      <w:proofErr w:type="spellStart"/>
      <w:r w:rsidRPr="00FD2456">
        <w:rPr>
          <w:rFonts w:ascii="Times New Roman" w:hAnsi="Times New Roman" w:cs="Times New Roman"/>
          <w:color w:val="000000"/>
          <w:sz w:val="24"/>
          <w:szCs w:val="24"/>
        </w:rPr>
        <w:t>Agip</w:t>
      </w:r>
      <w:proofErr w:type="spellEnd"/>
      <w:r w:rsidRPr="00FD2456">
        <w:rPr>
          <w:rFonts w:ascii="Times New Roman" w:hAnsi="Times New Roman" w:cs="Times New Roman"/>
          <w:color w:val="000000"/>
          <w:sz w:val="24"/>
          <w:szCs w:val="24"/>
        </w:rPr>
        <w:t xml:space="preserve"> the costs of this appeal.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D61B0D" w:rsidRPr="00FD2456" w:rsidRDefault="00D61B0D" w:rsidP="00FD2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2456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2640CC" w:rsidRPr="00FD2456" w:rsidRDefault="00D61B0D" w:rsidP="00FD2456">
      <w:pPr>
        <w:jc w:val="both"/>
        <w:rPr>
          <w:rFonts w:ascii="Times New Roman" w:hAnsi="Times New Roman" w:cs="Times New Roman"/>
          <w:sz w:val="24"/>
          <w:szCs w:val="24"/>
        </w:rPr>
      </w:pPr>
      <w:r w:rsidRPr="00FD2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sectPr w:rsidR="002640CC" w:rsidRPr="00FD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0D"/>
    <w:rsid w:val="002640CC"/>
    <w:rsid w:val="00A760CF"/>
    <w:rsid w:val="00D61B0D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430F8-00B9-4FBC-B55F-AC51525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2018-07-05T09:43:00Z</dcterms:created>
  <dcterms:modified xsi:type="dcterms:W3CDTF">2018-07-09T10:34:00Z</dcterms:modified>
</cp:coreProperties>
</file>