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96" w:rsidRPr="00E57040" w:rsidRDefault="00E57040" w:rsidP="00E5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E57040">
        <w:rPr>
          <w:rFonts w:ascii="Times New Roman" w:hAnsi="Times New Roman" w:cs="Times New Roman"/>
          <w:b/>
          <w:bCs/>
          <w:color w:val="000080"/>
          <w:sz w:val="24"/>
          <w:szCs w:val="24"/>
        </w:rPr>
        <w:t>AHMEDNASIR ABDIKADIR AND COMPANY ADVOCATES V NATIONAL BANK OF KENYA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E5704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LIMITED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15 March 2006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532/04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Advocates Remuneration Order – Agreement to charge fees less than the Remuneration Order –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such an agreement is illegal and unenforceable – Instances when such an agreement would be</w:t>
      </w:r>
      <w:r w:rsidR="00E5704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allowed by the law.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filed a suit claiming legal fees arising from its representation of the defendant in a separate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The defendant applied for striking out of the plaint on the grounds that the parties had entered into a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where the plaintiff would charge a fee less than the sum prescribed by law. Hence it claimed that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had offended the provisions of section 36(1) of the Advocates Act and it was seeking to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 a claim that offends public policy.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looks very unreasonable that the defendant should dictate the terms upon which it is ready to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work, then have the work done; thereafter decline to pay any fee for the work already done on the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that by accepting the defendant’s said terms the plaintiff was in breach of the law. However the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cannot enforce a contract that is tainted with illegality (</w:t>
      </w:r>
      <w:r>
        <w:rPr>
          <w:rFonts w:ascii="Times New Roman" w:hAnsi="Times New Roman" w:cs="Times New Roman"/>
          <w:i/>
          <w:iCs/>
          <w:color w:val="000000"/>
        </w:rPr>
        <w:t xml:space="preserve">Holman v Johnson </w:t>
      </w:r>
      <w:r>
        <w:rPr>
          <w:rFonts w:ascii="Times New Roman" w:hAnsi="Times New Roman" w:cs="Times New Roman"/>
          <w:color w:val="000000"/>
        </w:rPr>
        <w:t>[1775-1802] All ER 98;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Wild v Simpson </w:t>
      </w:r>
      <w:r>
        <w:rPr>
          <w:rFonts w:ascii="Times New Roman" w:hAnsi="Times New Roman" w:cs="Times New Roman"/>
          <w:color w:val="000000"/>
        </w:rPr>
        <w:t xml:space="preserve">[1918-1919] All ER 682; </w:t>
      </w:r>
      <w:r>
        <w:rPr>
          <w:rFonts w:ascii="Times New Roman" w:hAnsi="Times New Roman" w:cs="Times New Roman"/>
          <w:i/>
          <w:iCs/>
          <w:color w:val="000000"/>
        </w:rPr>
        <w:t xml:space="preserve">Re: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Trepca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Mines Limited </w:t>
      </w:r>
      <w:r>
        <w:rPr>
          <w:rFonts w:ascii="Times New Roman" w:hAnsi="Times New Roman" w:cs="Times New Roman"/>
          <w:color w:val="000000"/>
        </w:rPr>
        <w:t xml:space="preserve">[1962] 3 All ER 351; </w:t>
      </w:r>
      <w:r>
        <w:rPr>
          <w:rFonts w:ascii="Times New Roman" w:hAnsi="Times New Roman" w:cs="Times New Roman"/>
          <w:i/>
          <w:iCs/>
          <w:color w:val="000000"/>
        </w:rPr>
        <w:t>Patel v Singh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number</w:t>
      </w:r>
      <w:proofErr w:type="gramEnd"/>
      <w:r>
        <w:rPr>
          <w:rFonts w:ascii="Times New Roman" w:hAnsi="Times New Roman" w:cs="Times New Roman"/>
          <w:color w:val="000000"/>
        </w:rPr>
        <w:t xml:space="preserve"> 2) [1987] KLR 585 applied).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section 36(1) of the Advocates Act appears to outlaw undercutting, the said statutory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then pegs the definition of what may be deemed to be undercutting to that which is prescribed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Advocates Remuneration Order. That order then, expressly, </w:t>
      </w:r>
      <w:proofErr w:type="spellStart"/>
      <w:r>
        <w:rPr>
          <w:rFonts w:ascii="Times New Roman" w:hAnsi="Times New Roman" w:cs="Times New Roman"/>
          <w:color w:val="000000"/>
        </w:rPr>
        <w:t>authorises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 to negotiate with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clients, any fee which was in excess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10 000. Section 45(1) of the Advocates Act further fortifies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advocate’s entitlement to negotiate either a fee or an agreement fixing the amount of the advocate’s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remuneration.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rationale for allowing the opportunity to negotiate fees with their clients, if such fees would be in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 (in the event that they were assessed under the Advocates Remuneration Order) is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clients who could afford to pay fees in excess of that sum were in a position to negotiate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fee structures.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the legislative arm of government did not intend to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the advocate to negotiate any fee with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client, it would not have enacted provisions of section 45 of the Advocates Act. But having expressly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authorised advocates to negotiate fees with their clients, the Advocates Act cannot then be taken to have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criminalised such agreements. Indeed section 45(1) stipulates that such agreements would be valid and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binding on the parties, provided that they are in writing and signed by the client or his agent duly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authorised in that behalf.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 measure of “undercutting” or “overcharging” would be permissible if the client signed an</w:t>
      </w:r>
      <w:r w:rsidR="006C2D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agreeing to the same, in litigation matters which could otherwise attract fees in excess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</w:p>
    <w:p w:rsidR="000F2C96" w:rsidRDefault="006C2DC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10,</w:t>
      </w:r>
      <w:r w:rsidR="000F2C96">
        <w:rPr>
          <w:rFonts w:ascii="Times New Roman" w:hAnsi="Times New Roman" w:cs="Times New Roman"/>
          <w:color w:val="000000"/>
        </w:rPr>
        <w:t>000.</w:t>
      </w:r>
      <w:bookmarkStart w:id="0" w:name="_GoBack"/>
      <w:bookmarkEnd w:id="0"/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East Africa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Singh </w:t>
      </w:r>
      <w:r>
        <w:rPr>
          <w:rFonts w:ascii="Times New Roman" w:hAnsi="Times New Roman" w:cs="Times New Roman"/>
          <w:color w:val="000000"/>
        </w:rPr>
        <w:t xml:space="preserve">(number 2) [1987] KLR 585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United Kingdom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Archbolds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(Freightage)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Spanglett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[1961] 1 QB 374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Holman v Johnson </w:t>
      </w:r>
      <w:r>
        <w:rPr>
          <w:rFonts w:ascii="Times New Roman" w:hAnsi="Times New Roman" w:cs="Times New Roman"/>
          <w:color w:val="000000"/>
        </w:rPr>
        <w:t xml:space="preserve">[1775-1802] All ER 98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0F2C96" w:rsidRDefault="000F2C96" w:rsidP="000F2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Scott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Doering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McNab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</w:t>
      </w:r>
      <w:r>
        <w:rPr>
          <w:rFonts w:ascii="Times New Roman" w:hAnsi="Times New Roman" w:cs="Times New Roman"/>
          <w:color w:val="000000"/>
        </w:rPr>
        <w:t>[1982] QB 724</w:t>
      </w:r>
    </w:p>
    <w:p w:rsidR="00AB7022" w:rsidRDefault="000F2C96" w:rsidP="000F2C96">
      <w:proofErr w:type="spellStart"/>
      <w:r>
        <w:rPr>
          <w:rFonts w:ascii="Times New Roman" w:hAnsi="Times New Roman" w:cs="Times New Roman"/>
          <w:i/>
          <w:iCs/>
          <w:color w:val="000000"/>
        </w:rPr>
        <w:t>Trepca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Mines Limited</w:t>
      </w:r>
      <w:r>
        <w:rPr>
          <w:rFonts w:ascii="Times New Roman" w:hAnsi="Times New Roman" w:cs="Times New Roman"/>
          <w:color w:val="000000"/>
        </w:rPr>
        <w:t xml:space="preserve">, Re [1962] 3 All ER 351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AB7022" w:rsidSect="006C2DC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96"/>
    <w:rsid w:val="000F2C96"/>
    <w:rsid w:val="006C2DC6"/>
    <w:rsid w:val="00AB7022"/>
    <w:rsid w:val="00E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5C93-E409-41A9-8CD6-E42C25E5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2018-07-05T05:47:00Z</dcterms:created>
  <dcterms:modified xsi:type="dcterms:W3CDTF">2018-07-09T11:00:00Z</dcterms:modified>
</cp:coreProperties>
</file>