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Allimasi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Kerawala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June 1973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4/1973 (51/74)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Onyiuke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Master and Servant – Summary dismissal – Jurisdiction – Not affected by Severance Allowance Act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487) </w:t>
      </w:r>
      <w:r>
        <w:rPr>
          <w:rFonts w:ascii="Times New Roman" w:hAnsi="Times New Roman" w:cs="Times New Roman"/>
          <w:i/>
          <w:iCs/>
          <w:color w:val="000000"/>
        </w:rPr>
        <w:t xml:space="preserve">– Security of Employment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574)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28 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DA29DE" w:rsidRDefault="00BC58B8" w:rsidP="00BC58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Onyiuke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 xml:space="preserve">This is an appeal from the decision of the district court </w:t>
      </w:r>
      <w:proofErr w:type="spellStart"/>
      <w:r>
        <w:rPr>
          <w:rFonts w:ascii="Times New Roman" w:hAnsi="Times New Roman" w:cs="Times New Roman"/>
          <w:color w:val="000000"/>
        </w:rPr>
        <w:t>Mtwara</w:t>
      </w:r>
      <w:proofErr w:type="spellEnd"/>
      <w:r>
        <w:rPr>
          <w:rFonts w:ascii="Times New Roman" w:hAnsi="Times New Roman" w:cs="Times New Roman"/>
          <w:color w:val="000000"/>
        </w:rPr>
        <w:t xml:space="preserve"> dismissing the appellant’s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with costs on the ground that the district court had no jurisdiction to entertain the claim.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case commenced in the district court as a result of a report submitted by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officer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Mtwara</w:t>
      </w:r>
      <w:proofErr w:type="spellEnd"/>
      <w:r>
        <w:rPr>
          <w:rFonts w:ascii="Times New Roman" w:hAnsi="Times New Roman" w:cs="Times New Roman"/>
          <w:color w:val="000000"/>
        </w:rPr>
        <w:t xml:space="preserve"> under s. 132 of the Employment Ordinance. The appellant was a driver by calling. The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a limited liability company carrying on quarrying operations among other activities in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Mtwara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Mikindani</w:t>
      </w:r>
      <w:proofErr w:type="spellEnd"/>
      <w:r>
        <w:rPr>
          <w:rFonts w:ascii="Times New Roman" w:hAnsi="Times New Roman" w:cs="Times New Roman"/>
          <w:color w:val="000000"/>
        </w:rPr>
        <w:t>. The appellant’s case was that he was employed by the respondent in 1959 as a driver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a monthly wage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250/- and that he had worked continuously for the respondent up to 20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October 1971 when his employment was terminated without notice, and without payment in lieu of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notice. He claimed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250/- being one month’s wage in lieu of notice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1,625/- being severance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allowance for 15 years’ continuous service. He called two witnesses who testified that the appellant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worked for the respondent but neither was able to say on what terms the plaintiff was employed.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respondent’s case was that the appellant was only employed from time to time as the need arose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 daily basis as a casual worker; that the arrangement was that the appellant would be paid at the end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each day depending on the number of trips he made for the day. The rate for a trip was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2/-. The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tendered in evidence payment vouchers with the appellant’s thumb prints showing that he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received his wage at the end of each day. The appellant admitted the thumb prints were his but gave an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explanation of this which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 did not impress the magistrate. The respondent’s daily wages were not constant but varied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number of trips he made per day.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magistrate in a closely reasoned judgment reviewed the whole evidence and though he was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inclined to accept the respondent’s case that the appellant was a casual employee within the meaning of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term as defined in s. 2 of the Employment Ordinance he however dismissed the appellant’s claim on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 that the jurisdiction of the court to entertain the claim was ousted by s. 28 of the Security of</w:t>
      </w:r>
    </w:p>
    <w:p w:rsidR="00DA29DE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Employment Act (Cap. 574). The appellant has now appealed to this court against the decision.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magistrate treated the appellant’s claim as one for summary dismissal. Part of his judgment reads</w:t>
      </w:r>
      <w:r w:rsidR="00BC58B8">
        <w:rPr>
          <w:rFonts w:ascii="Times New Roman" w:hAnsi="Times New Roman" w:cs="Times New Roman"/>
          <w:color w:val="000000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as follows: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“It is clear from the evidence of the plaintiff that this termination of employment was that of dismissal, even if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his evidence that he was on a monthly basis employment was accepted. I say this because s. 30 of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Employment (Amendment) Act 1962 provides that an oral contract of service from month to month can be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terminated: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gram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notice;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( ii</w:t>
      </w:r>
      <w:proofErr w:type="gramEnd"/>
      <w:r w:rsidRPr="00BC58B8">
        <w:rPr>
          <w:rFonts w:ascii="Times New Roman" w:hAnsi="Times New Roman" w:cs="Times New Roman"/>
          <w:color w:val="000000"/>
          <w:sz w:val="24"/>
          <w:szCs w:val="24"/>
        </w:rPr>
        <w:t>) by payment in lieu of notice;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(iii) </w:t>
      </w:r>
      <w:proofErr w:type="gram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gram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dismissal for lawful cause.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“Since the plaintiff was neither given notice nor paid in lieu of notice then this termination in law is that of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summary dismissal.”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There can be no doubt that the magistrate took the correct view of the law. In </w:t>
      </w:r>
      <w:proofErr w:type="spellStart"/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Kitundu</w:t>
      </w:r>
      <w:proofErr w:type="spellEnd"/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Sisal Estate v.</w:t>
      </w:r>
      <w:r w:rsid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Shingo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, [1970] E.A. 557, Law, J.A. stated at p. 558: “Summary dismissal means dismissal without notice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and the plaintiffs’ contention that their services were wrongly terminated without notice can only, in my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view, be considered as a contention that they were summarily dismissed”. Again in </w:t>
      </w:r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Ali Mohamed v.</w:t>
      </w:r>
      <w:r w:rsid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Kunduchi</w:t>
      </w:r>
      <w:proofErr w:type="spellEnd"/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Sisal Estates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(1971 HCD No. 431)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Onyiuke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>, J. in the course of this judgment dealing with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summary dismissal stated as follows: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“S. 20 of the Security of Employment Act gives the right to an employer to dismiss an employee summarily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for breaches of the disciplinary code in cases in which such penalty is allowed under the Code. S. 21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prescribes the procedure to be followed before that right can be exercised. Mr.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Kolimba’s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contention was that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unless an employer complied with this procedure for a breach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lastRenderedPageBreak/>
        <w:t>which justifies summary dismissal under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code any purported dismissal cannot amount to summary dismissal within the meaning of s. 28 of the Security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of Employment Act and therefore falls outside the ambit of the prohibitory provisions of that section.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short answer to this contention is that where an employer does not comply with the Act his action becomes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wrongful but it is still summary dismissal for which but for s. 28 of the Act the employee can bring </w:t>
      </w:r>
      <w:r w:rsidR="00BC58B8"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action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for damages. Compliance with the provisions of the Act is a complete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to an action for wrongful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summary dismissal but that is not the point. S. 28 precludes the Court from entertaining any proceedings in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regard to summary dismissal so that the question whether the employer has a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or not can hardly arise.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Compliance with the provisions of the Act does not constitute summary dismissal. It provides a justification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for summary dismissal.”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What the appellant was contending in the present case was that he was summarily dismissed without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lawful cause and that was precisely what s. 28 precludes any court from inquiring into.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The appellant was not represented by counsel in this appeal but Mr.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Lakha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for the respondent, has been of great assistance to the court and had drawn my attention to any point that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could possibly be urged in favour of the appellant. One of such points was whether the appellant’s claims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could be treated separately so that his claim for severance allowance should have been entertained in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court below. If this was possible then the magistrate should not have dismissed that part of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appellant’s claim for want of jurisdiction. The relevant sections of the Severance Allowance Act (Cap.487) are ss. 3, 4, and 11. S. 3 provides as follows: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“Subject to this Act, where an employee has been in the continuous employment of an employer for a period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of three months or more and, on or after the twenty-fifth day of June, 1962.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) (1) the employment is terminated by the employer . . . the employer shall pay to the employee </w:t>
      </w:r>
    </w:p>
    <w:p w:rsidR="00DA29DE" w:rsidRPr="00BC58B8" w:rsidRDefault="00BC58B8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DA29DE" w:rsidRPr="00BC58B8">
        <w:rPr>
          <w:rFonts w:ascii="Times New Roman" w:hAnsi="Times New Roman" w:cs="Times New Roman"/>
          <w:color w:val="000000"/>
          <w:sz w:val="24"/>
          <w:szCs w:val="24"/>
        </w:rPr>
        <w:t>severance allowance.”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S. 4 (1) of the Act provides as follows: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“An employer shall not be liable to pay any severance allowance to or in respect of any employee who: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) Immediately before the cessation of his employment was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(1) . . 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(2) A casual employee;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was</w:t>
      </w:r>
      <w:proofErr w:type="gram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summarily dismissed for lawful cause.”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S. 11 provides as follows: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“The amount of any severance allowance which an employer is required to pay to or in respect of an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employee, may be recovered by the employee or in the event of his death by any of his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dependants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by suit as a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debt to such employee or to such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dependants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>.”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I do not think that s. 11 of the Severance Allowance Act can be used to by-pass the mandatory provisions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of s. 28 of the Security of Employment Act. The basis of the appellant’s claim whether in respect of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one month’s wage in lieu of notice or of the severance allowance was that his employment was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wrongfully terminated, that is to say, summary dismissal for no lawful cause and that he was therefore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entitled to his claims. But for s. 28 of the Security of Employment Act the court would have to inquire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into the issue of wrongful dismissal. The effect of s. 28 however is to oust the jurisdiction of the court to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do just that. I hold that the appellant’s claims are so interwoven that they fall within the ambit of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prohibitory provisions of s. 28 of the Security of Employment Act and that the magistrate was justified in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dismissing his claim for lack of jurisdiction.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Lakha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has further urged, this time in favour of the respondent, that the magistrate, having found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as a fact that the appellant was a casual employee, should have dismissed the case on its merits. 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submitted that the payment vouchers admittedly signed by the appellant showed clearly that he was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employed as a casual employee. I doubt whether it was open to the magistrate to have inquired into that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issue. I am of the view that where a plaint discloses facts which bring a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lastRenderedPageBreak/>
        <w:t>case within the class of cases in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respect of which the jurisdiction of the court is expressly taken away by statute the court must decline to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entertain the case. The correct approach, I think is for the court to ask whether assuming the facts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disclosed in the plaint to be true its jurisdiction to entertain it is taken away. If the answer is in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affirmative it should dismiss the suit for want of jurisdiction.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It has to be pointed out that the fact this case was referred to the district court by a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officer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could not confer on it a jurisdiction which was expressly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taken away by s. 28 of the Security of Employment Act. The prohibitory provisions of s. 28 (1) of the Act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are by s. 28 (2) extended to cover any civil proceeding under Part XI of the Employment Ordinance. S.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132 under which the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officer purported to refer the dispute to the district court comes under Part XI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of the Employment Ordinance.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If the appellant in spite of the payment vouchers he signed wishes to pursue the matter he has to take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the dispute to a Conciliation Board.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Finally, I wish to refer to the decree drawn up and signed in this case in the district court.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magistrate in his judgment dismissed the plaintiff’s case with costs.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Part of the decree in this case reads as follows: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“It is ordered that the suit be dismissed. Defendant to pay to the plaintiff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Shs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. 1,875/ </w:t>
      </w:r>
      <w:proofErr w:type="gram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– .”</w:t>
      </w:r>
      <w:proofErr w:type="gramEnd"/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Neither the appellant nor the respondent was represented by advocate in the court below but even if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respondent was so represented the costs of the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and of counsel could not possibly amount to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Shs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1,875/ – which incidentally was above even the plaintiff’s claim. It was obvious that the officer who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drew up the decree thought that judgment was for the appellant. The district magistrate inadvertently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signed the decree no doubt under pressure of work. The result however would have been disastrous to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appellant if advantage was taken of this mistake and execution was levied on his property. The provisions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of the Civil Procedure Code are clear and unambiguous and should be strictly complied with.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O. 20 r. 6 provides as follows: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“(1) </w:t>
      </w:r>
      <w:proofErr w:type="gram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decree shall agree with the judgment, it shall contain the number of the suit, the names and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descriptions of the parties and particulars of the claim and shall specify clearly the relief granted or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other circumstances of the suit.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(2) The Decree shall also state the amount of costs incurred in the suit and by whom or out of what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property and in what proportions such costs are to be paid.”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O. 20 r. 7 provides as follows: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“The decree shall bear date the day on which the judgment was pronounced and when the Judge or Magistrate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has satisfied himself that the decree has been drawn up in accordance with the judgment he shall sign the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>decree.”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It is hoped that these provisions of the order will always be borne in mind. In the final result I dismiss</w:t>
      </w:r>
      <w:r w:rsidR="00BC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BC58B8">
        <w:rPr>
          <w:rFonts w:ascii="Times New Roman" w:hAnsi="Times New Roman" w:cs="Times New Roman"/>
          <w:color w:val="000000"/>
          <w:sz w:val="24"/>
          <w:szCs w:val="24"/>
        </w:rPr>
        <w:t>this appeal. I order however that the decree be re-drawn and properly signed.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Order accordingly.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The appellant in person:</w:t>
      </w:r>
    </w:p>
    <w:p w:rsidR="00DA29DE" w:rsidRPr="00BC58B8" w:rsidRDefault="00DA29DE" w:rsidP="00DA2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8B8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3278A0" w:rsidRPr="00BC58B8" w:rsidRDefault="00DA29DE" w:rsidP="00DA29DE">
      <w:pPr>
        <w:rPr>
          <w:sz w:val="24"/>
          <w:szCs w:val="24"/>
        </w:rPr>
      </w:pPr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 </w:t>
      </w:r>
      <w:proofErr w:type="spellStart"/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Lakha</w:t>
      </w:r>
      <w:proofErr w:type="spellEnd"/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(instructed by </w:t>
      </w:r>
      <w:proofErr w:type="spellStart"/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Lakha</w:t>
      </w:r>
      <w:proofErr w:type="spellEnd"/>
      <w:r w:rsidRPr="00BC58B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&amp; Co</w:t>
      </w:r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, Dar </w:t>
      </w:r>
      <w:proofErr w:type="spellStart"/>
      <w:r w:rsidRPr="00BC58B8">
        <w:rPr>
          <w:rFonts w:ascii="Times New Roman" w:hAnsi="Times New Roman" w:cs="Times New Roman"/>
          <w:color w:val="000000"/>
          <w:sz w:val="24"/>
          <w:szCs w:val="24"/>
        </w:rPr>
        <w:t>es</w:t>
      </w:r>
      <w:proofErr w:type="spellEnd"/>
      <w:r w:rsidRPr="00BC58B8">
        <w:rPr>
          <w:rFonts w:ascii="Times New Roman" w:hAnsi="Times New Roman" w:cs="Times New Roman"/>
          <w:color w:val="000000"/>
          <w:sz w:val="24"/>
          <w:szCs w:val="24"/>
        </w:rPr>
        <w:t xml:space="preserve"> Salaam)</w:t>
      </w:r>
    </w:p>
    <w:sectPr w:rsidR="003278A0" w:rsidRPr="00BC58B8" w:rsidSect="00BC58B8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DE"/>
    <w:rsid w:val="003278A0"/>
    <w:rsid w:val="00BC58B8"/>
    <w:rsid w:val="00D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FBCB8-5315-4E22-899A-6E98178B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6C45716-EC3B-480E-8992-7DAFC680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2018-07-06T11:27:00Z</dcterms:created>
  <dcterms:modified xsi:type="dcterms:W3CDTF">2018-07-09T13:30:00Z</dcterms:modified>
</cp:coreProperties>
</file>