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Anyang’ Nyong’o and others v Attorney-General and others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East African Court of Justice at Arusha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30 March 2007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1/06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1/06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Ole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P,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VP, </w:t>
      </w:r>
      <w:proofErr w:type="spellStart"/>
      <w:r>
        <w:rPr>
          <w:rFonts w:ascii="Times New Roman" w:hAnsi="Times New Roman" w:cs="Times New Roman"/>
          <w:color w:val="000000"/>
        </w:rPr>
        <w:t>Ramadhani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Mulwa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JJA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Ongoya</w:t>
      </w:r>
      <w:proofErr w:type="spellEnd"/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East African Community Treaty – Composition of the Legislative Assembly – To be by election –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Meaning of election – Article 50 of the Treaty establishing the East African Community.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was a reference under article 30 of the Treaty for the Establishment of the East African Community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Treaty”), in which the claimants sought to invoke the Court’s jurisdiction under article 27 of the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Treaty. They contended that the process in which the first, second and third interveners were deemed to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elected as Kenya’s nine members of the East African Legislative Assembly (“the Assembly”), and the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made by the Kenya National Assembly and invoked for effecting the said process, infringe on the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article 50 of the Treaty. They made prayers, for the Court to interpret and apply article 50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Treaty to the said process and rules and declares them to be void and that costs of the reference be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awarded to the claimants.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article 2 of the Treaty, the contracting parties, namely the United Republic of Tanzania, the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Republic of Kenya and the Republic of Uganda, (“the Partner States”) established among themselves an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East African Community (“the Community”) and under article 9 established diverse organs and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institutions of the Community. One of the 8 organs established under the Treaty is the East African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Legislative Assembly (“the Assembly”), which is the legislative organ of the Community. It consists of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twenty-seven elected members and five </w:t>
      </w:r>
      <w:r>
        <w:rPr>
          <w:rFonts w:ascii="Times New Roman" w:hAnsi="Times New Roman" w:cs="Times New Roman"/>
          <w:i/>
          <w:iCs/>
          <w:color w:val="000000"/>
        </w:rPr>
        <w:t xml:space="preserve">ex officio </w:t>
      </w:r>
      <w:r>
        <w:rPr>
          <w:rFonts w:ascii="Times New Roman" w:hAnsi="Times New Roman" w:cs="Times New Roman"/>
          <w:color w:val="000000"/>
        </w:rPr>
        <w:t xml:space="preserve">members. </w:t>
      </w:r>
      <w:r w:rsidR="0029192A">
        <w:rPr>
          <w:rFonts w:ascii="Times New Roman" w:hAnsi="Times New Roman" w:cs="Times New Roman"/>
          <w:color w:val="000000"/>
        </w:rPr>
        <w:t>Article</w:t>
      </w:r>
      <w:r>
        <w:rPr>
          <w:rFonts w:ascii="Times New Roman" w:hAnsi="Times New Roman" w:cs="Times New Roman"/>
          <w:color w:val="000000"/>
        </w:rPr>
        <w:t xml:space="preserve"> 50 of the Treaty provided that the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National Assembly of each Partner State shall elect nine members of the Assembly in accordance with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procedure as it may determine. The article also stipulated that the elected members shall, as much as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feasible, be representative of specified groups, and sets out the qualifications for election. When the first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Assembly was due to be constituted in 2001, the National Assembly of Kenya, made the Treaty for the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Establishment of the East African Community (“Election of Members of the Assembly”) Rules 2001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election rules”). The first nine members of the Assembly, whose term expired on 29 November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2006, were elected under those rules. On 25 and 26 October 2006, pursuant to the election rules, the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House Business Committee of the National Assembly deliberated upon lists of names presented to it as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persons that were nominated by the three parliamentary political parties entitled to nominate candidates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election to the Assembly. The parties were the Kenya African National Union (“KANU”), the Forum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Restoration of Democracy – People (“FORD–K”), and the National Rainbow Coalition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(“NARC”). </w:t>
      </w:r>
      <w:proofErr w:type="spellStart"/>
      <w:r>
        <w:rPr>
          <w:rFonts w:ascii="Times New Roman" w:hAnsi="Times New Roman" w:cs="Times New Roman"/>
          <w:color w:val="000000"/>
        </w:rPr>
        <w:t>All together</w:t>
      </w:r>
      <w:proofErr w:type="spellEnd"/>
      <w:r>
        <w:rPr>
          <w:rFonts w:ascii="Times New Roman" w:hAnsi="Times New Roman" w:cs="Times New Roman"/>
          <w:color w:val="000000"/>
        </w:rPr>
        <w:t>, five lists were presented to the Committee. Two lists, of three nominees each,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from KANU; one list of one nominee only, was from FORD – P. Each of the other two lists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contained 5 nominees of NARC. One was submitted by the party leader through the Clerk to the National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Assembly as provided by the election rules. The other was presented to the Committee, in its afternoon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session on 25 October, by the Government Chief Whip.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Committee unanimously approved the only nomination from FORD–K. In the course of the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deliberations, KANU withdrew one of its lists and the Committee approved, also unanimously, the three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nominees on the remaining list. Finally, with regard to the nominations from NARC, the Committee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the two lists and then, according to its minutes, “resolved to consider the list submitted by the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Government Chief Whip for purposes of nomination…” Although it was not expressly stated in the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minutes and no reasons therefor were recorded, the Committee thereby impliedly rejected the nominees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list submitted by the party leader of NARC, except for one Gervase </w:t>
      </w:r>
      <w:proofErr w:type="spellStart"/>
      <w:r>
        <w:rPr>
          <w:rFonts w:ascii="Times New Roman" w:hAnsi="Times New Roman" w:cs="Times New Roman"/>
          <w:color w:val="000000"/>
        </w:rPr>
        <w:t>Buluma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Kafwa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Akhaabi</w:t>
      </w:r>
      <w:proofErr w:type="spellEnd"/>
      <w:r>
        <w:rPr>
          <w:rFonts w:ascii="Times New Roman" w:hAnsi="Times New Roman" w:cs="Times New Roman"/>
          <w:color w:val="000000"/>
        </w:rPr>
        <w:t>, who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on both lists.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On 26 October 2006, the Committee, after amending the previously approved list of KANU nominees,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approved nine names as “duly nominated to serve” in the Assembly and “further resolved that the list be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tabled before the House” in accordance with the Election Rules.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list was accordingly tabled in the National Assembly on that day in a Ministerial Statement by the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Vice President of the Republic of Kenya, as Leader of Government Business in the National Assembly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Chairman of the House Business Committee. Thereafter, the names were remitted to the third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as members of the Assembly elected by the National Assembly of Kenya.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9 November 2006, nearly three weeks before the second Assembly was due to commence, the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claimants filed the reference in the Court with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interlocutory application for an interim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injunction to prevent the said nine persons from taking office as members of the Assembly until</w:t>
      </w:r>
      <w:r w:rsidR="0029192A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determination of the reference. By order of the Court, the interlocutory application was heard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24 and 25 November 2006. The Court delivered its ruling on the application and on two objections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raised therein on 27 November 2006, in which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it granted the interim injunction restraining the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third and fourth respondents from </w:t>
      </w:r>
      <w:proofErr w:type="spellStart"/>
      <w:r>
        <w:rPr>
          <w:rFonts w:ascii="Times New Roman" w:hAnsi="Times New Roman" w:cs="Times New Roman"/>
          <w:color w:val="000000"/>
        </w:rPr>
        <w:t>recognising</w:t>
      </w:r>
      <w:proofErr w:type="spellEnd"/>
      <w:r>
        <w:rPr>
          <w:rFonts w:ascii="Times New Roman" w:hAnsi="Times New Roman" w:cs="Times New Roman"/>
          <w:color w:val="000000"/>
        </w:rPr>
        <w:t xml:space="preserve"> the 9 nominees as duly elected members of the Assembly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until disposal of the reference.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the pleadings, the court identified for determination the issues whether the complainants had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disclosed any cause of action within the meaning of article 30 of the Treaty; an election had been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undertaken within the meaning of article 50 of the Treaty; the Kenya Election Rules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the Treaty for the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Establishment of the East African Community (Election of Members of the Assembly) Rules 2001,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complied with article 50 of the Treaty?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The East African Community Treaty, being an international treaty among three sovereign states,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subject to the international law on interpretation of treaties, the main one being “The Vienna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Convention on the Law of Treaties”. The articles of the Vienna Convention on the Law of Treaties that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of particular relevance to the reference were article 26 that embodies the principle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pacta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sunt</w:t>
      </w:r>
      <w:proofErr w:type="spellEnd"/>
      <w:r w:rsidR="0029192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servanda</w:t>
      </w:r>
      <w:proofErr w:type="spellEnd"/>
      <w:r>
        <w:rPr>
          <w:rFonts w:ascii="Times New Roman" w:hAnsi="Times New Roman" w:cs="Times New Roman"/>
          <w:color w:val="000000"/>
        </w:rPr>
        <w:t>, article 27 that prohibits a party to a treaty from invoking its internal law as justification for not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observing or failing to perform the treaty and article 31, which sets out the general rule of interpretation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treaties.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cause of action is a set of facts or circumstances that in law give rise to a right to sue or to take out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action in court for redress or remedy. (</w:t>
      </w:r>
      <w:r>
        <w:rPr>
          <w:rFonts w:ascii="Times New Roman" w:hAnsi="Times New Roman" w:cs="Times New Roman"/>
          <w:i/>
          <w:iCs/>
          <w:color w:val="000000"/>
        </w:rPr>
        <w:t xml:space="preserve">Auto Garage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Motokov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3 [1971] EA 514 followed). A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 of action created by statute or other legislation does not necessarily fall within the same parameters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actions in tort and suits for breach of statutory duty or breach of contract. Its parameters are defined by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statute or legislation which creates it. The reference was not an action seeking remedy for violation of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claimants’ common law rights. It was an action brought for enforcement of provisions of the Treaty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through a procedure prescribed by the Treaty.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Treaty at articles 28, 29 and 30 provided for a number of actions that would be brought to the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for adjudication. Under article 28(1) a Partner State could refer to the Court, the failure to fulfill a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Treaty obligation or the infringement of a Treaty provision by another Partner State or by an organ or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institution of the Community. Under article 28(2) a Partner State could also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a reference to the Court to determine the legality of any Act, regulation, directive, decision or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action on the ground that it is </w:t>
      </w:r>
      <w:r>
        <w:rPr>
          <w:rFonts w:ascii="Times New Roman" w:hAnsi="Times New Roman" w:cs="Times New Roman"/>
          <w:i/>
          <w:iCs/>
          <w:color w:val="000000"/>
        </w:rPr>
        <w:t xml:space="preserve">ultra vires </w:t>
      </w:r>
      <w:r>
        <w:rPr>
          <w:rFonts w:ascii="Times New Roman" w:hAnsi="Times New Roman" w:cs="Times New Roman"/>
          <w:color w:val="000000"/>
        </w:rPr>
        <w:t>or unlawful or an infringement of the Treaty or any rule of law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relating to its application or amounts to a misuse or abuse of power. Under article 29, the Secretary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could also, subject to different parameters, refer to the Court failure to fulfill a Treaty obligation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 an infringement of a provision of the Treaty, by a Partner State. Under article 30 subject to </w:t>
      </w:r>
      <w:r w:rsidR="0029192A">
        <w:rPr>
          <w:rFonts w:ascii="Times New Roman" w:hAnsi="Times New Roman" w:cs="Times New Roman"/>
          <w:color w:val="000000"/>
        </w:rPr>
        <w:t>the provisions</w:t>
      </w:r>
      <w:r>
        <w:rPr>
          <w:rFonts w:ascii="Times New Roman" w:hAnsi="Times New Roman" w:cs="Times New Roman"/>
          <w:color w:val="000000"/>
        </w:rPr>
        <w:t xml:space="preserve"> of article 27 of the Treaty, any person resident in a Partner State could refer for determination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Court, the legality of any Act, regulation, directive, decision or action of a Partner State or an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institution of the Community on the grounds that such Act, regulation, directive, decision or action was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unlawful or is an infringement of the provisions of this Treaty.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None of the provisions in the three articles required directly or by implication, the claimant, to show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r w:rsidR="0029192A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right</w:t>
      </w:r>
      <w:proofErr w:type="gramEnd"/>
      <w:r>
        <w:rPr>
          <w:rFonts w:ascii="Times New Roman" w:hAnsi="Times New Roman" w:cs="Times New Roman"/>
          <w:color w:val="000000"/>
        </w:rPr>
        <w:t xml:space="preserve"> or interest that was infringed and/or damage that was suffered as a consequence of the matter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complained of in the reference and there was no legal basis on which the Court would import or imply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requirement into article 30 of the Treaty.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If the only subject matter of the reference were those circumstances surrounding the substitution of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third interveners for the said four claimants, the Court would have no jurisdiction over the reference.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virtue of article 34 of the Treaty, the East African Court of Justice has the primacy if not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supremacy of jurisdiction over the interpretation of provisions of the Treaty.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30 of the Treaty confers on a litigant resident in any Partner State the right of direct access to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for determination of the issues set out therein. It is therefore not necessary that before bringing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reference under article 30, a litigant has to “exhaust the local remedy” there being no local remedy to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exhaust in any event.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50 imports two basic concepts. One concept is that the article imposes on each National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Assembly the function of electing nine members of the Assembly from the respective Partner States, with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discretionary power to determine the procedure it will follow in executing that function. The other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concept is that the article confers on the National Assembly of each Partner State the responsibility, with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unfettered discretion, to determine how the nine members of the Assembly from the respective Partner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States are to be elected.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overriding object and purpose of article 50 was to prescribe a special mode of constituting one of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categories of membership of the Assembly. This was done by providing in express, unambiguous and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mandatory terms that the section of the Assembly comprising 27 members shall be constituted by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members elected severally by the National Assemblies of the Partner States, each of which is entitled to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 nine members. According to the ordinary meaning of the expression “the National Assembly of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each Partner State shall elect nine members of the Assembly”, the National Assembly of each Partner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 is unconditionally assigned the function of e </w:t>
      </w:r>
      <w:proofErr w:type="spellStart"/>
      <w:r>
        <w:rPr>
          <w:rFonts w:ascii="Times New Roman" w:hAnsi="Times New Roman" w:cs="Times New Roman"/>
          <w:color w:val="000000"/>
        </w:rPr>
        <w:t>lecting</w:t>
      </w:r>
      <w:proofErr w:type="spellEnd"/>
      <w:r>
        <w:rPr>
          <w:rFonts w:ascii="Times New Roman" w:hAnsi="Times New Roman" w:cs="Times New Roman"/>
          <w:color w:val="000000"/>
        </w:rPr>
        <w:t xml:space="preserve"> nine members of the Assembly. Article 50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constitutes the National Assembly of each Partner State into “an electoral college” for electing the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Partner State’s nine representatives to the Assembly. We think that there can be no other purpose of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naming the National Assembly in this regard other than to constitute it into an electoral college.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rest of the provisions of article 50 do not add to or subtract from that assignment of election.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They only serve to leave two matters in the National Assembly’s discretion. First, while the article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 that the nine elected members shall as much as feasible, be representative of the specified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groupings, by implication it appears that the extent of the feasibility of such representation is left to be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determined in the discretion of the National Assembly. Secondly, the National Assembly has the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 to determine the procedure it has to follow in carrying out the election.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decision to constitute the National Assembly of each Partner State into an electoral college was a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deliberate step towards establishing a legislature comprising of people’s representatives. The National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Assembly, being an institution of people’s representatives, is next to the people themselves, the second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best forum for electing such representatives.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discretion of determining the procedure of electing the representatives does not include an option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National Assembly to assign the function to any other body. That would offend the </w:t>
      </w:r>
      <w:r w:rsidR="0029192A">
        <w:rPr>
          <w:rFonts w:ascii="Times New Roman" w:hAnsi="Times New Roman" w:cs="Times New Roman"/>
          <w:color w:val="000000"/>
        </w:rPr>
        <w:t>well-established</w:t>
      </w:r>
      <w:r>
        <w:rPr>
          <w:rFonts w:ascii="Times New Roman" w:hAnsi="Times New Roman" w:cs="Times New Roman"/>
          <w:color w:val="000000"/>
        </w:rPr>
        <w:t xml:space="preserve"> principle articulated in the maxim: “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Delegata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potestas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non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potest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</w:rPr>
        <w:t>delegari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”</w:t>
      </w:r>
      <w:proofErr w:type="gramEnd"/>
      <w:r>
        <w:rPr>
          <w:rFonts w:ascii="Times New Roman" w:hAnsi="Times New Roman" w:cs="Times New Roman"/>
          <w:color w:val="000000"/>
        </w:rPr>
        <w:t xml:space="preserve"> (a delegated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cannot be delegated).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ordinary meanings of the words “election” and “to elect” are “choice” and “to choose”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respectively; and that in the context of article 50, the words relate to the National Assembly choosing or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selecting persons to hold political positions. The phenomenon of multiple meanings of words makes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of documents a very difficult task; but the task is not insurmountable. Rules of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have been designed to ease the burden, hence the need to invoke them. There are two trite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rules of international law, which emanate from the principle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pacta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sunt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servanda</w:t>
      </w:r>
      <w:proofErr w:type="spellEnd"/>
      <w:r>
        <w:rPr>
          <w:rFonts w:ascii="Times New Roman" w:hAnsi="Times New Roman" w:cs="Times New Roman"/>
          <w:color w:val="000000"/>
        </w:rPr>
        <w:t>, namely; treaty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are presumed to have meaning and must not be construed as void for uncertainty, in the way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contracts between private persons may be construed at municipal law, and the parties to a treaty cannot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taken to have intended an absurdity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would lead to unnecessary uncertainty, if not to absurdity, if article 50 were construed to mean that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 to the Treaty intended to attach no meaning to the words “election” and “to elect” used in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50, leaving it to each National Assembly to adopt its preferred meaning of the words through the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of Procedure it determines. Ordinarily, a reference to a democratic election of persons to political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 is understood to mean election by voting. In all three Partner States, the National Assembly has the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function of electing its Speaker and Deputy Speaker. It executes that function by voting in one form or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It is very unlikely that in adopting article 50, the parties to the Treaty contemplated, let alone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intended, that the National Assembly would elect the members of the Assembly other than through voting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procedure. An election through voting may be accomplished using such diverse procedures as secret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ballot, show of hands or acclamation. The electoral process may or may not involve such preliminaries as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campaigns, primaries and/or nominations. An election may be contested or uncontested. The bottom line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compliance with article 50 is that the decision to elect is a decision of, and by the National Assembly.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National Assembly of Kenya did not undertake or carry out an election within the meaning of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50 of the Treaty. In determining whether the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Election Rules constitute an infringement of article 50 of the Treaty, it is immaterial that the claimants or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of them may have previously regarded the Election Rules as valid or may have done anything or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any step in pursuance of their provisions. Once a question of infringement of the Treaty is properly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to the Court under article 30, the question ceases to be of purely personal interest and the court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failing in its duty under article 23 if it refused to determine the question on the ground of the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claimant’s previous conduct or belief. The doctrine of 46, </w:t>
      </w:r>
      <w:r>
        <w:rPr>
          <w:rFonts w:ascii="Times New Roman" w:hAnsi="Times New Roman" w:cs="Times New Roman"/>
          <w:i/>
          <w:iCs/>
          <w:color w:val="000000"/>
        </w:rPr>
        <w:t xml:space="preserve">estoppel </w:t>
      </w:r>
      <w:r>
        <w:rPr>
          <w:rFonts w:ascii="Times New Roman" w:hAnsi="Times New Roman" w:cs="Times New Roman"/>
          <w:color w:val="000000"/>
        </w:rPr>
        <w:t>cannot be raised against the operation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statute. (</w:t>
      </w:r>
      <w:r>
        <w:rPr>
          <w:rFonts w:ascii="Times New Roman" w:hAnsi="Times New Roman" w:cs="Times New Roman"/>
          <w:i/>
          <w:iCs/>
          <w:color w:val="000000"/>
        </w:rPr>
        <w:t xml:space="preserve">Maritime Electric Company Limited v General Dairies Limited </w:t>
      </w:r>
      <w:r>
        <w:rPr>
          <w:rFonts w:ascii="Times New Roman" w:hAnsi="Times New Roman" w:cs="Times New Roman"/>
          <w:color w:val="000000"/>
        </w:rPr>
        <w:t>[1937] 1 All ER 748;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Southend-on-Sea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Corporation v Hodgson (Wickford) Limited </w:t>
      </w:r>
      <w:r>
        <w:rPr>
          <w:rFonts w:ascii="Times New Roman" w:hAnsi="Times New Roman" w:cs="Times New Roman"/>
          <w:color w:val="000000"/>
        </w:rPr>
        <w:t xml:space="preserve">[1961] 2 All ER 46 and </w:t>
      </w:r>
      <w:r>
        <w:rPr>
          <w:rFonts w:ascii="Times New Roman" w:hAnsi="Times New Roman" w:cs="Times New Roman"/>
          <w:i/>
          <w:iCs/>
          <w:color w:val="000000"/>
        </w:rPr>
        <w:t xml:space="preserve">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Tarmal</w:t>
      </w:r>
      <w:proofErr w:type="spellEnd"/>
      <w:r w:rsidR="0029192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Industries v Commissioner of Customs and Excise </w:t>
      </w:r>
      <w:r>
        <w:rPr>
          <w:rFonts w:ascii="Times New Roman" w:hAnsi="Times New Roman" w:cs="Times New Roman"/>
          <w:color w:val="000000"/>
        </w:rPr>
        <w:t>[1968] EA 471 followed).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Estoppel </w:t>
      </w:r>
      <w:r>
        <w:rPr>
          <w:rFonts w:ascii="Times New Roman" w:hAnsi="Times New Roman" w:cs="Times New Roman"/>
          <w:color w:val="000000"/>
        </w:rPr>
        <w:t>cannot be invoked to prevent an inquiry into an alleged infringement of the Treaty. If the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rules made in exercise of power conferred by article 50 are </w:t>
      </w:r>
      <w:r>
        <w:rPr>
          <w:rFonts w:ascii="Times New Roman" w:hAnsi="Times New Roman" w:cs="Times New Roman"/>
          <w:i/>
          <w:iCs/>
          <w:color w:val="000000"/>
        </w:rPr>
        <w:t>ultra vires</w:t>
      </w:r>
      <w:r>
        <w:rPr>
          <w:rFonts w:ascii="Times New Roman" w:hAnsi="Times New Roman" w:cs="Times New Roman"/>
          <w:color w:val="000000"/>
        </w:rPr>
        <w:t>, they cannot be saved on the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ground that the claimants previously regarded them as </w:t>
      </w:r>
      <w:r>
        <w:rPr>
          <w:rFonts w:ascii="Times New Roman" w:hAnsi="Times New Roman" w:cs="Times New Roman"/>
          <w:i/>
          <w:iCs/>
          <w:color w:val="000000"/>
        </w:rPr>
        <w:t>intra vires</w:t>
      </w:r>
      <w:r>
        <w:rPr>
          <w:rFonts w:ascii="Times New Roman" w:hAnsi="Times New Roman" w:cs="Times New Roman"/>
          <w:color w:val="000000"/>
        </w:rPr>
        <w:t>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the extent that the Kenyan Election Rules provide in rule 4, that the National Assembly shall elect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nine members of the Assembly “according to the proportion of every party in the National Assembly”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partial compliance with article 50. However, the apparent absence of any provision to cater for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gender and other special interest groups is a significant degree of non-compliance, notwithstanding the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 of the National Assembly in determining the extent and feasibility of the representation. The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major deviation from article 50 by the Kenya Election Rules is that the Election Rules do not provide for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National Assembly to elect the members of the Assembly.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 5 provides for the nomination of candidates by the political parties and sets out the procedure for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submitting nomination papers to the House Business Committee.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National Assembly of any democratic sovereign State has the powers of regulating its conduct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through the Rules of Procedure by whatever name called. Once made and adopted, they are binding until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revoked, amended or otherwise modified by the National Assembly itself. Ordinarily, what the National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Assembly does in accordance with such rules is lawful and valid. However, a state, which in exercise of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sovereign power binds itself to an international treaty, may end up facing conflicting demands, namely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demand to abide by its treaty obligations and the demand to abide by its own rules that conflict with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former. A State, party to a treaty cannot justify failure to perform its treaty obligation by reason of its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internal inhibitions. It cannot be lawful for a State that with others, voluntarily enters into a Treaty by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rights and obligations are vested, not only on the State parties but also on their people, to plead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is unable to perform its obligation because its laws do not permit it to do so.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National Assembly of Kenya did not undertake an election within the meaning of article 50 of the</w:t>
      </w:r>
    </w:p>
    <w:p w:rsidR="003D1445" w:rsidRDefault="003D1445" w:rsidP="002919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Treaty, and that the Election Rules in issue infringe the same article.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 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</w:t>
      </w:r>
      <w:r w:rsidR="002919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overruled)</w:t>
      </w:r>
      <w:bookmarkStart w:id="0" w:name="_GoBack"/>
      <w:bookmarkEnd w:id="0"/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Auto Garage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Motokov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number 3 [1971] EA 514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Ismail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Serugo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Kampala City Council and Attorney-General </w:t>
      </w:r>
      <w:r>
        <w:rPr>
          <w:rFonts w:ascii="Times New Roman" w:hAnsi="Times New Roman" w:cs="Times New Roman"/>
          <w:color w:val="000000"/>
        </w:rPr>
        <w:t>constitutional appeal number 2 of 1998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(UR)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Jaramogi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Oginga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Odinga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Zachariah 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Chesoni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Attorney-General </w:t>
      </w:r>
      <w:r>
        <w:rPr>
          <w:rFonts w:ascii="Times New Roman" w:hAnsi="Times New Roman" w:cs="Times New Roman"/>
          <w:color w:val="000000"/>
        </w:rPr>
        <w:t>miscellaneous application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number</w:t>
      </w:r>
      <w:proofErr w:type="gramEnd"/>
      <w:r>
        <w:rPr>
          <w:rFonts w:ascii="Times New Roman" w:hAnsi="Times New Roman" w:cs="Times New Roman"/>
          <w:color w:val="000000"/>
        </w:rPr>
        <w:t xml:space="preserve"> 602 of 1992 (UR)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Tarmal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Industries v Commissioner of Customs and Excise </w:t>
      </w:r>
      <w:r>
        <w:rPr>
          <w:rFonts w:ascii="Times New Roman" w:hAnsi="Times New Roman" w:cs="Times New Roman"/>
          <w:color w:val="000000"/>
        </w:rPr>
        <w:t xml:space="preserve">[1968] EA 471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lastRenderedPageBreak/>
        <w:t>United Kingdom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Maritime Electric Company Limited v General Dairies Limited </w:t>
      </w:r>
      <w:r>
        <w:rPr>
          <w:rFonts w:ascii="Times New Roman" w:hAnsi="Times New Roman" w:cs="Times New Roman"/>
          <w:color w:val="000000"/>
        </w:rPr>
        <w:t xml:space="preserve">[1937] 1 All ER 748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v Secretary of State for Transport ex parte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Factortame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</w:t>
      </w:r>
      <w:r>
        <w:rPr>
          <w:rFonts w:ascii="Times New Roman" w:hAnsi="Times New Roman" w:cs="Times New Roman"/>
          <w:color w:val="000000"/>
        </w:rPr>
        <w:t>number 2 [1991] 1 AC 603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Southend-on-Sea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Corporation v Hodgson (Wickford) Limited </w:t>
      </w:r>
      <w:r>
        <w:rPr>
          <w:rFonts w:ascii="Times New Roman" w:hAnsi="Times New Roman" w:cs="Times New Roman"/>
          <w:color w:val="000000"/>
        </w:rPr>
        <w:t xml:space="preserve">[1961] 2 All ER 46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Aubyn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(LM) v Attorney-General </w:t>
      </w:r>
      <w:r>
        <w:rPr>
          <w:rFonts w:ascii="Times New Roman" w:hAnsi="Times New Roman" w:cs="Times New Roman"/>
          <w:color w:val="000000"/>
        </w:rPr>
        <w:t>[1951] 2 All ER 473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India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Indira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Sawhney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Union of India </w:t>
      </w:r>
      <w:r>
        <w:rPr>
          <w:rFonts w:ascii="Times New Roman" w:hAnsi="Times New Roman" w:cs="Times New Roman"/>
          <w:color w:val="000000"/>
        </w:rPr>
        <w:t>JT [1999] (9) SC 557: [2000] 1 SCC 168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Other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Algemene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Transporten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Expeditie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Onderneming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van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Gend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Loos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Nederlandse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Administratie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der</w:t>
      </w:r>
    </w:p>
    <w:p w:rsidR="003D1445" w:rsidRDefault="003D1445" w:rsidP="003D1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Belastingen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[1963] ECR 1</w:t>
      </w:r>
    </w:p>
    <w:p w:rsidR="00EE7594" w:rsidRDefault="003D1445" w:rsidP="003D1445">
      <w:proofErr w:type="spellStart"/>
      <w:r>
        <w:rPr>
          <w:rFonts w:ascii="Times New Roman" w:hAnsi="Times New Roman" w:cs="Times New Roman"/>
          <w:i/>
          <w:iCs/>
          <w:color w:val="000000"/>
        </w:rPr>
        <w:t>Amminstrazione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delle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Finanze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dello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Stato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Simmenthal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[1978] E</w:t>
      </w:r>
    </w:p>
    <w:sectPr w:rsidR="00EE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45"/>
    <w:rsid w:val="0029192A"/>
    <w:rsid w:val="003D1445"/>
    <w:rsid w:val="00E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F0056-C017-4FB0-82EC-191E9A68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2856</Words>
  <Characters>16282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2018-07-05T08:59:00Z</dcterms:created>
  <dcterms:modified xsi:type="dcterms:W3CDTF">2018-07-09T13:44:00Z</dcterms:modified>
</cp:coreProperties>
</file>