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Anyang’ Nyong’o and others v Attorney-General and others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East African Court of Justice at Arusha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March 2007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1/06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VP,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JJA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East African Community Treaty – Composition of the Legislative Assembly – To be by election –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Meaning of election – Article 50 of the Treaty establishing the East African Community.</w:t>
      </w:r>
    </w:p>
    <w:p w:rsidR="00530C42" w:rsidRDefault="00530C42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38672D" w:rsidRDefault="00530C42" w:rsidP="00530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Ole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Keiwua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VP,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Ramadhani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Mulwa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This is a reference under article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 of the Treaty for the Establishment of the East African Community “(the Treaty”), in which the above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named claimants seek to invoke this Court’s jurisdiction under article 27 of the Treaty. They contend that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process in which the above named first, second and third interveners were deemed to be elected as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Kenya’s nine members of the East African Legislative Assembly (“the Assembly”), and the rules made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Kenya National Assembly and invoked for effecting the said process, infringe the provisions of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50 of the Treaty. They make diverse prayers, but we need refer to only the pertinent ones with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this judgment is concerned and which we would paraphrase as follows: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That this Court interprets and applies article 50 of the Treaty to the said process and rules and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declares them to be void; and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That costs of the reference be awarded to the claimants.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consider the rest of the prayers are not maintainable under article 30.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Background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article 2 of the Treaty, the contracting parties, namely the United Republic of Tanzania, the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Republic of Kenya and the Republic of Uganda</w:t>
      </w:r>
      <w:proofErr w:type="gramStart"/>
      <w:r>
        <w:rPr>
          <w:rFonts w:ascii="Times New Roman" w:hAnsi="Times New Roman" w:cs="Times New Roman"/>
          <w:color w:val="000000"/>
        </w:rPr>
        <w:t>,</w:t>
      </w:r>
      <w:r w:rsidR="00530C42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“the Partner States”) established among themselves an East African Community (the Community) and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9 established diverse organs and institutions of the Community. One of the eight organs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under the Treaty is the East African Legislative Assembly (“the Assembly”), which is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legislative organ of the Community. It consists of 27 elected members and five </w:t>
      </w:r>
      <w:r>
        <w:rPr>
          <w:rFonts w:ascii="Times New Roman" w:hAnsi="Times New Roman" w:cs="Times New Roman"/>
          <w:i/>
          <w:iCs/>
          <w:color w:val="000000"/>
        </w:rPr>
        <w:t xml:space="preserve">ex officio </w:t>
      </w:r>
      <w:r>
        <w:rPr>
          <w:rFonts w:ascii="Times New Roman" w:hAnsi="Times New Roman" w:cs="Times New Roman"/>
          <w:color w:val="000000"/>
        </w:rPr>
        <w:t>members.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50 of the Treaty provides that the National Assembly of each Partner State shall elect nine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the Assembly in accordance with such procedure as it may determine. The article also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stipulates that the elected members shall, as much as feasible, be representative of specified groups, and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sets out the qualifications for election.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first Assembly was due to be constituted in 2001, the National Assembly of Kenya, “in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the powers conferred by article 50(1) of the Treaty” made the Treaty for the Establishment of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 African Community (“Election of Members of the Assembly”) Rules 2001” (“the election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rules”). The first nine members of the Assembly, whose term expired on 29 November 2006, were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elected under those rules.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25 and 26 October 2006, pursuant to the election rules, the House Business Committee of the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National Assembly deliberated upon lists of names presented to it as persons that were nominated by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parliamentary political parties entitled to nominate candidates for election to the Assembly.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are the Kenya African National Union (“KANU”), the Forum for the Restoration of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Democracy–People (“FORD–K”), and the National Rainbow Coalition (“NARC”). </w:t>
      </w:r>
      <w:r w:rsidR="00530C42">
        <w:rPr>
          <w:rFonts w:ascii="Times New Roman" w:hAnsi="Times New Roman" w:cs="Times New Roman"/>
          <w:color w:val="000000"/>
        </w:rPr>
        <w:t>Altogether</w:t>
      </w:r>
      <w:r>
        <w:rPr>
          <w:rFonts w:ascii="Times New Roman" w:hAnsi="Times New Roman" w:cs="Times New Roman"/>
          <w:color w:val="000000"/>
        </w:rPr>
        <w:t>, five lists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</w:t>
      </w:r>
      <w:r w:rsidR="00530C42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resented to the Committee. Two lists, of three nominees each, were from KANU; one list of one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nominee only, was from FORD–K. Each of the other two lists contained five nominees of NARC. One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submitted by the party leader through the Clerk to the National Assembly as provided by the election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The other was presented to the Committee, in its afternoon session on 25 October by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Chief Whip.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Committee unanimously approved the only nomination from FORD–K. In the course of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deliberations, KANU withdrew one of its lists and the Committee approved, also unanimously, the three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nominees on the remaining list. Finally, with regard to the nominations from NARC, the Committee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two lists and then, according to its minutes, “resolved to consider the list submitted by the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Government Chief Whip for purposes of nomination…” Although it is not expressly stated in the minutes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 reasons therefor were recorded, the Committee thereby impliedly rejected the nominees on the list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by the party leader of NARC, except for one Gervase </w:t>
      </w:r>
      <w:proofErr w:type="spellStart"/>
      <w:r>
        <w:rPr>
          <w:rFonts w:ascii="Times New Roman" w:hAnsi="Times New Roman" w:cs="Times New Roman"/>
          <w:color w:val="000000"/>
        </w:rPr>
        <w:t>Buluma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Kafwa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Akhaabi</w:t>
      </w:r>
      <w:proofErr w:type="spellEnd"/>
      <w:r>
        <w:rPr>
          <w:rFonts w:ascii="Times New Roman" w:hAnsi="Times New Roman" w:cs="Times New Roman"/>
          <w:color w:val="000000"/>
        </w:rPr>
        <w:t xml:space="preserve"> who was on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lists.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26 October 2006, the Committee, after amending the previously approved list of KANU nominees,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approved: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</w:rPr>
        <w:t>Tsungu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Safina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Kwekwe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Kimura Catherine </w:t>
      </w:r>
      <w:proofErr w:type="spellStart"/>
      <w:r>
        <w:rPr>
          <w:rFonts w:ascii="Times New Roman" w:hAnsi="Times New Roman" w:cs="Times New Roman"/>
          <w:color w:val="000000"/>
        </w:rPr>
        <w:t>Ngima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Karan Clarkson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color w:val="000000"/>
        </w:rPr>
        <w:t>Lotodo</w:t>
      </w:r>
      <w:proofErr w:type="spellEnd"/>
      <w:r>
        <w:rPr>
          <w:rFonts w:ascii="Times New Roman" w:hAnsi="Times New Roman" w:cs="Times New Roman"/>
          <w:color w:val="000000"/>
        </w:rPr>
        <w:t xml:space="preserve"> Augustine </w:t>
      </w:r>
      <w:proofErr w:type="spellStart"/>
      <w:r>
        <w:rPr>
          <w:rFonts w:ascii="Times New Roman" w:hAnsi="Times New Roman" w:cs="Times New Roman"/>
          <w:color w:val="000000"/>
        </w:rPr>
        <w:t>Chemonges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color w:val="000000"/>
        </w:rPr>
        <w:t>Akhaabi</w:t>
      </w:r>
      <w:proofErr w:type="spellEnd"/>
      <w:r>
        <w:rPr>
          <w:rFonts w:ascii="Times New Roman" w:hAnsi="Times New Roman" w:cs="Times New Roman"/>
          <w:color w:val="000000"/>
        </w:rPr>
        <w:t xml:space="preserve"> Gervase,</w:t>
      </w:r>
    </w:p>
    <w:p w:rsidR="0038672D" w:rsidRDefault="00530C42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38672D">
        <w:rPr>
          <w:rFonts w:ascii="Times New Roman" w:hAnsi="Times New Roman" w:cs="Times New Roman"/>
          <w:color w:val="000000"/>
        </w:rPr>
        <w:t xml:space="preserve">(6) </w:t>
      </w:r>
      <w:proofErr w:type="spellStart"/>
      <w:r w:rsidR="0038672D">
        <w:rPr>
          <w:rFonts w:ascii="Times New Roman" w:hAnsi="Times New Roman" w:cs="Times New Roman"/>
          <w:color w:val="000000"/>
        </w:rPr>
        <w:t>Bonaya</w:t>
      </w:r>
      <w:proofErr w:type="spellEnd"/>
      <w:r w:rsidR="0038672D">
        <w:rPr>
          <w:rFonts w:ascii="Times New Roman" w:hAnsi="Times New Roman" w:cs="Times New Roman"/>
          <w:color w:val="000000"/>
        </w:rPr>
        <w:t xml:space="preserve"> Sarah </w:t>
      </w:r>
      <w:proofErr w:type="spellStart"/>
      <w:r w:rsidR="0038672D">
        <w:rPr>
          <w:rFonts w:ascii="Times New Roman" w:hAnsi="Times New Roman" w:cs="Times New Roman"/>
          <w:color w:val="000000"/>
        </w:rPr>
        <w:t>Talaso</w:t>
      </w:r>
      <w:proofErr w:type="spellEnd"/>
      <w:r w:rsidR="0038672D">
        <w:rPr>
          <w:rFonts w:ascii="Times New Roman" w:hAnsi="Times New Roman" w:cs="Times New Roman"/>
          <w:color w:val="000000"/>
        </w:rPr>
        <w:t>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proofErr w:type="spellStart"/>
      <w:r>
        <w:rPr>
          <w:rFonts w:ascii="Times New Roman" w:hAnsi="Times New Roman" w:cs="Times New Roman"/>
          <w:color w:val="000000"/>
        </w:rPr>
        <w:t>Nakuleu</w:t>
      </w:r>
      <w:proofErr w:type="spellEnd"/>
      <w:r>
        <w:rPr>
          <w:rFonts w:ascii="Times New Roman" w:hAnsi="Times New Roman" w:cs="Times New Roman"/>
          <w:color w:val="000000"/>
        </w:rPr>
        <w:t xml:space="preserve"> Christopher,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Abdi </w:t>
      </w:r>
      <w:proofErr w:type="spellStart"/>
      <w:r>
        <w:rPr>
          <w:rFonts w:ascii="Times New Roman" w:hAnsi="Times New Roman" w:cs="Times New Roman"/>
          <w:color w:val="000000"/>
        </w:rPr>
        <w:t>Abdirahin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Haither</w:t>
      </w:r>
      <w:proofErr w:type="spellEnd"/>
      <w:r>
        <w:rPr>
          <w:rFonts w:ascii="Times New Roman" w:hAnsi="Times New Roman" w:cs="Times New Roman"/>
          <w:color w:val="000000"/>
        </w:rPr>
        <w:t>, and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(9) Reuben </w:t>
      </w:r>
      <w:proofErr w:type="spellStart"/>
      <w:r>
        <w:rPr>
          <w:rFonts w:ascii="Times New Roman" w:hAnsi="Times New Roman" w:cs="Times New Roman"/>
          <w:color w:val="000000"/>
        </w:rPr>
        <w:t>Onserio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Oyondi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“duly nominated to serve” in the Assembly and “further resolved that the list be tabled before the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House” in accordance with the Election Rules.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list was accordingly tabled in the National Assembly on that day in a Ministerial Statement by the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Vice President of the Republic of Kenya, as Leader of Government Business in the National Assembly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Chairman of the House Business Committee. Thereafter, the names were remitted to the third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as members of the Assembly elected by the National Assembly of Kenya.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On 9 November 2006, nearly three weeks before the second Assembly was due to commence,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claimants filed the reference in this Court with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interlocutory application for an interim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to prevent the said nine persons from taking office as members of the Assembly until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determination of the reference. By order of the Court, the interlocutory application was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and 25 November 2006. The Court delivered its ruling on the application and on two objections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raised therein on 27 November 2006, in which,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it granted the interim injunction restraining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 and fourth respondents from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nine nominees as duly elected members of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until disposal of the reference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Parties to the reference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claimants are resident in Kenya. In the reference, the first and second claimants are stated to be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suing as officials of the Orange Democratic Movement (“ODM”) and the fourth and fifth claimants are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to be suing as officials of the Liberal Democratic Party (“LDP”). The third, sixth and seventh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claimants are stated to be suing as officials of NARC, Democratic Party (“DP”) and Forum for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Restoration of Democracy in Kenya (“FORD–K”), respectively. But despite highlighting the stated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 capacities in the pleading, nothing significant turned on them during the trial and therefore, in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judgment, we consider the said claimants in the same individual capacities as the eighth, nine, tenth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eleventh claimants. It should be mentioned, however, that the third, ninth, tenth and eleventh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claimants were the NARC nominees on the list submitted by the party leader, which was inexplicably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rejected by the House Business Committee.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Six respondents were initially cited in the reference. At the hearing of the aforesaid interlocutory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the second, fifth and sixth respondents objected to their being joined to the case, and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upheld the objection in its ruling delivered on 27 November 2006, on the ground that the only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whose legality the Court had to determine were those done by Kenya as a Partner State through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National Assembly. They were struck out, leaving the three respondents named above.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interim injunction, which took immediate effect, the nine affected nominees and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KANU party filed separate applications under article 40 of the Treaty and rule 35 of the Court Rules, for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to intervene in the reference. By a consolidated consent order, dated 17 January 2007, leave to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intervene limited to supporting the respective cases of the claimants or the respondents, was granted.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interveners are the three KANU nominees, the second is the nominee of FORD–K and the third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interveners are the five persons approved by the House Business Committee as the NARC nominees.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 interveners are officials of KANU party.</w:t>
      </w:r>
    </w:p>
    <w:p w:rsidR="0038672D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Pleadings and Issues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There are numerous averments in the reference, many of which are unnecessary, notwithstanding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explanation that their purpose is to show the full context of the claimants’ case. With due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to learned counsel, we are constrained to observe that much of the “over-pleading” has led to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degree of confusion in regard to the jurisdiction of this Court and the claimants’ cause of action. Be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 it may, in our view, the claimants’ core pleading that leads to the prayers we referred to at the</w:t>
      </w:r>
      <w:r w:rsidR="00530C42">
        <w:rPr>
          <w:rFonts w:ascii="Times New Roman" w:hAnsi="Times New Roman" w:cs="Times New Roman"/>
          <w:color w:val="000000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beginning of this judgment is captured in two paragraphs, which read thus: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“(29) It is the contention of the claimants that the whole process of nomination and election adopted by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National Assembly of Kenya was incurably and fatally flawed in substance, law and procedure and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contravenes article 50 of the East African Community Treaty in so far as no election was held nor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debate allowed in Parliament on the matter.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(30) The claimants also contend that any such rules that may have been invoked by the Kenya National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which do not allow election directly by citizens or residents of Kenya or their elected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representatives is null and void for being contrary to the letter and spirit of the Treaty.”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a nutshell, the response of the first respondent is premised on the following four propositions as basic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pleas, namely, that: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(1) In 2001, the Kenya National Assembly, pursuant to article 50 of the Treaty, determined its own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procedure for election of the nine members of the Assembly in form of the election rules, which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embody the democratic principle of proportional representation.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(2) In October 2006, the National Assembly, acting through its House Business Committee, in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accordance with its standing orders and the election rules, went through the process of electing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nine members to the second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(3) Neither the Election Rules nor the process of electing the nine members constitute an infringement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Treaty or are otherwise unlawful.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(4) The reference does not disclose a cause of action.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third and fourth respondents plead jointly that no cause of action is disclosed against them as they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were not privy to the activities of the Kenya National Assembly about which the reference complains. In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alternative they plead that the cause of action, if any, ceased when they obeyed the interim injunction,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which had been the purpose for their being made parties in the case.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Out of these pleadings, the Court framed the following three broad issues: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(1) Have the complainants disclosed any cause of action within the meaning of article 30 of the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Treaty?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(2) Was an election undertaken within the meaning of article 50 of the Treaty?</w:t>
      </w:r>
    </w:p>
    <w:p w:rsidR="0038672D" w:rsidRPr="00530C42" w:rsidRDefault="00530C42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(3) Do the Kenya Election Rules </w:t>
      </w:r>
      <w:proofErr w:type="spellStart"/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The Treaty for the Establishment of the East African Community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(“Election of Members of the Assembly”) Rules 2001, comply with article 50 of the Treaty?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Evidence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main facts relied on by all the parties, most of which are outlined in the background section of this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judgment, are not in controversy. Only one witness, Yvonne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Khamati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 the tenth claimant, gave oral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evidence and was cross-examined at length by counsel for all the parties. We hasten to observe, however,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the lengthy questioning of the witness appeared to be more for eliciting from her some desired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evidence than for challenging the veracity of her testimony. Even the uncommon mode of adducing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evidence of a speech made by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Norman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Nyagah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 the Government Chief Whip, through her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producing a DVD recording of the speech, for the Court to view and hear, was not challenged. The rest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evidence was adduced by affidavits.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At the scheduling conference, it was intimated that the first respondent would object to the Hansard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copies annexed to the reference being used in evidence. This appears to have prompted the claimants to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adduce affidavits from Members of Parliament who participated in the proceedings reported in the said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Hansard copies. During the trial, however, the course of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objecting to the use of Hansard was not pursued,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counsel for all the parties, including the first respondent, referred to the copies annexed to their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respective pleadings without objection.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In view of our finding that the evidence material to the issues for determination is not 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ontentious, it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is unnecessary to discuss it in any detail. Where necessary, we shall consider the evidence that is not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reflected in the background section of the judgment, as we discuss the framed issues.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advocates for the claimants, the first respondent and the first interveners filed written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submissions. In addition, the respective counsel for all the parties as well as for the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amicus curiae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 made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oral submissions at the hearing.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Applicable principles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Treaty describes the role and jurisdiction of this Court in two distinct but clearly related provisions.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article 23, the Treaty provides: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“The Court shall be a judicial body which shall ensure the adherence to law in the interpretation and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application of and compliance with this Treaty.”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It then provides thus in article 27(1):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“The Court shall initially have jurisdiction over the interpretation and application of this Treaty.”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Treaty, being an international treaty among three sovereign states, is subject to the international law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interpretation of treaties, the main one being “The Vienna Convention on the Law of Treaties”.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three Partner States acceded to the Convention on different dates; (Uganda on 24 June 1988, Kenya on 9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November 1988 and Tanzania on 7 April 1993). The articles of the Convention that are of particular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relevance to this reference are article 26 that embodies the principle of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pacta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sunt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servanda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 article 27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prohibits a party to a treaty from invoking its internal law as justification for not observing or failing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perform the treaty and article 31, which sets out the general rule of interpretation of treaties. Article 31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reads:</w:t>
      </w:r>
    </w:p>
    <w:p w:rsidR="0038672D" w:rsidRPr="00530C42" w:rsidRDefault="00530C42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“(1) A treaty shall be interpreted in good faith in accordance with the ordinary meaning to be given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terms of the treaty in their context and in the light of its object and purpose.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(2) The context for the purpose of the interpretation of a treaty shall comprise, in addition to the text,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including its preamble and annexes: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="00530C42">
        <w:rPr>
          <w:rFonts w:ascii="Times New Roman" w:hAnsi="Times New Roman" w:cs="Times New Roman"/>
          <w:color w:val="000000"/>
          <w:sz w:val="24"/>
          <w:szCs w:val="24"/>
        </w:rPr>
        <w:t>) 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ny agreement relating to the treaty which was made between all the parties in connection with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conclusion of the treaty;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proofErr w:type="gramEnd"/>
      <w:r w:rsidR="00530C42">
        <w:rPr>
          <w:rFonts w:ascii="Times New Roman" w:hAnsi="Times New Roman" w:cs="Times New Roman"/>
          <w:color w:val="000000"/>
          <w:sz w:val="24"/>
          <w:szCs w:val="24"/>
        </w:rPr>
        <w:t>) 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ny instrument which was made by one or more parties in connection with the conclusion of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 and accepted by the other parties as an instrument related to the 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(3) There shall be taken into account: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>) any subsequent agreement between the parties regarding the interpretation of the treaty or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application of its provisions;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proofErr w:type="gramEnd"/>
      <w:r w:rsidR="00530C42">
        <w:rPr>
          <w:rFonts w:ascii="Times New Roman" w:hAnsi="Times New Roman" w:cs="Times New Roman"/>
          <w:color w:val="000000"/>
          <w:sz w:val="24"/>
          <w:szCs w:val="24"/>
        </w:rPr>
        <w:t>) 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ny subsequent practice in the application of the treaty which establishes the agreement of the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parties regarding its interpretation;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proofErr w:type="gramEnd"/>
      <w:r w:rsidR="00530C42">
        <w:rPr>
          <w:rFonts w:ascii="Times New Roman" w:hAnsi="Times New Roman" w:cs="Times New Roman"/>
          <w:color w:val="000000"/>
          <w:sz w:val="24"/>
          <w:szCs w:val="24"/>
        </w:rPr>
        <w:t>) 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ny relevant rules of international law applicable in the relations between the parties.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(4) A special meaning shall be given to a term if it is established that the parties so intended.” [Emphasis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mine.]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claimants urged that in addition to seeking guidance from the Vienna Convention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interpreting the Treaty, the Court should, in respect of article 50 of the Treaty, apply what he referred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as the principle of equivalence, which ensures that in the interpretation and application of rights and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obligations created under a treaty there is equivalence in the States that are bound by the Treaty. In other</w:t>
      </w:r>
      <w:r w:rsid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words, treaty provisions must be uniformly interpreted and applied in the states that are parties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For the first respondent on the other hand, the Court was urged to exercise its jurisdiction with care,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bearing in mind the historical perspective of the Treaty with particular reference to the recitals in its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preamble in which the Partner States recall the causes of the collapse of the former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East African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Community in 1977 and in which they resolve to act in concert to strengthen their co-operation, adhering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fundamental and operational principles set out in the Treaty. In apparent support of this submission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third interveners stressed the fundamental principle in international law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sovereign equality of states, under which any matter over which a State does not expressly relinquish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sovereignty, remains within its sovereignty. A State cannot lose sovereignty over any matter by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implication of international law.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Submissions on Issue number one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claimants’ submission on the first framed issue is that the averments in the reference show a cause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action within the meaning of article 30 of the Treaty. They argue that the claimants are competent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make the reference since they are legal and natural persons resident in East Africa. The reference and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supporting documentary evidence, show that the contentious nominations were made pursuant to article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50 of the Treaty, as were the Election Rules under which the nominations were done. The Election Rules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the process of the nominations and approval of the nominees as members of the Assembly are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“regulations, decision and action” of a Partner State whose legality is contestable under article 30. In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reference, the claimants ask the Court to interpret article 50, relative to the said process and rules and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determine if the process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the rules infringe the article. They contend that this is therefore, a justifiable cause of action. They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also reiterate that this Court has jurisdiction to determine the reference and to grant the prayers made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therein.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On the other hand, the first respondent submits that the claimants 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have not disclosed any cause of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action under article 30 of the Treaty. In order to establish a cause of action, a litigant must have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locus</w:t>
      </w:r>
      <w:r w:rsidR="006F1E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standi.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litigant must have sufficient interest in the subject matter upon which a court is to adjudicate.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Secondly, the litigant must be seeking a remedy in respect of a legal right, which has been infringed 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violated.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According to the first respondent there are two view points of the issue of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locus standi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instant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reference. First, from a strict perspective, since the subject matter of the reference, namely whether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 of Kenya’s members of the Assembly was undemocratic and unlawful, is a matter of public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interest, the only person that has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locus standi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 the protector of public interest, is the Attorney-General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Republic of Kenya. Secondly, from a broader perspective, the first, fourth and seventh claimants,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being members of the National Assembly, may claim to have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locus standi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the ground that they have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personal interest to ensure that the National Assembly elects strictly in accordance with article 50.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approach, however, should be avoided as it would make a mockery of democracy to allow them to refer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the Court an issue that they lost to the majority in a democratic debate in the House.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first respondent also maintains that the claimants failed to show that they have a right conferred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by the Treaty, which was contravened. Article 30 does not confer any right on any of the claimants. It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only a procedural provision for enforcing rights conferred under other provisions of the Treaty. If article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30 is interpreted to confer a right on every resident of the Partner State, the Court would be turned into an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institution of resolving philosophical discussion and speculation and cease to be a court of law. Since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under articles 34 and 52 the Treaty vests interpretation jurisdiction in the national courts also,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substance of the reference should be dealt with by the High Court of Kenya under article 52. If this Cour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rules on the legality of the contentious election it would be usurping the power of the High Court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Kenya.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support of the foregoing submissions, learned counsel for the third interveners, also contended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claimants do not have a cause of action maintainable in this Court, which is an international court.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Their grievance raises the question whether the third interveners were elected to the Assembly.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Treaty expressly provides in article 52 that when that question arises, it shall be determined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by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relevant institution of the Partner State. The claimants did not seek remedy from the High Court or other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institution of the Republic of Kenya. Under the principles of international law, they cannot access this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before exhausting the local remedy provided by the Treaty itself.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third and fourth respondents, stressed that both under the pleadings and in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evidence no claim was made against either of the two respondents. They were not alleged to be persons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whose activities gave rise to the reference. They were not shown to have infringed a right conferred on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claimants by the Treaty. No nexus was established linking the third and fourth respondents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activities complained of, in the reference. The claimants did not disclose, let alone prove, any cause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action entitling them to a claim and an award against the two respondents. Although, in the interlocutory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application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for injunction they were properly joined, they ought to have been discharged after compliance with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injunction order.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Further, the third and fourth respondents contend that they cannot be party to the reference because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they are neither a Partner State nor an institution of the Community whose acts or regulations are referred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the Court under article 30.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Findings on Issue number one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From the submissions, we discern the following five grounds upon which the contention of</w:t>
      </w:r>
    </w:p>
    <w:p w:rsidR="0038672D" w:rsidRPr="00530C42" w:rsidRDefault="006F1E81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Non-disclosure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of a cause of action is based, </w:t>
      </w:r>
      <w:proofErr w:type="spellStart"/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that: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(1) The claimants failed to show the essential elements of a cause of action, namely, that their rights 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interests were violated or infringed upon;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(2) Article 30 does not create any right; it creates a forum for adjudication of rights vested by other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provisions of the Treaty;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(3) The substantial question raised in the Reference, whether the third interveners are elected members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Assembly, is not within this Court’s jurisdiction;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(4) The claimants have not exhausted the local remedy provided by the Treaty; and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(5) In the case of the third and fourth respondents, it is not shown that they are liable for the matters,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which are subject of complaint in the reference.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 cause of action is a set of facts or circumstances that in law give rise to a right to sue or to take out an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action in court for redress or remedy. In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Auto Garage v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Motokov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 number 3 [1971] EA 514, a decision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Court of Appeal for East Africa, Spry VP, described a common law cause of action at 519 D thus: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“if a plaint shows that the plaintiff enjoyed a right, that the right has been violated and that the defendant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liable, then, in my opinion, a cause of action has been disclosed and any omission or defect may be amended.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If on the other hand, any of those essentials is missing, no cause of action has been shown and no amendment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is permissible.”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description sets out the parameters of actions in tort and suits for breach of statutory duty or breach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contract. However, a cause of action created by statute or other legislation does not necessarily fall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within the same parameters. Its parameters are defined by the statute or legislation which creates it.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This reference is not an action seeking remedy for violation of the claimants’ common law rights. It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 action brought for enforcement of provisions of the Treaty through a procedure prescribed by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Treaty. The Treaty provides for a number of actions that may be brought to this Court for adjudication.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Articles 28, 29 and 30 virtually create special causes of action, which different parties may refer to this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for adjudication. Under article 28(1) a Partner State may refer to the Court, the failure to fulfill a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 obligation or the infringement of a Treaty provision by another Partner State or by an organ 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institution of the Community. Under article 28(2), a Partner State may also make a reference to this Court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to determine the legality of any Act, regulation, directive, decision or action on the ground that it is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ultra</w:t>
      </w:r>
      <w:r w:rsidR="006F1E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vires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 unlawful or an infringement of the Treaty or any rule of law relating to its application or amounts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a misuse or abuse of power. Under article 29, the Secretary-General may also, subject to different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parameters, refer to the Court failure to fulfill a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 obligation, or an infringement of a provision of the Treaty, by a Partner State.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30 provides: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“Subject to the provisions of article 27 of this Treaty, any person resident in a Partner State may refer for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determination by the Court, the legality of any Act, regulation, directive, decision or action of a Partner State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 an institution of the Community on the grounds that such Act, regulation, directive, decision or action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unlawful or is an infringement of the provisions of this Treaty.”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 is important to note that none of the provisions in the three articles require directly or by implication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for the claimant to show a right or interest that was infringed and/or damage that was suffered as a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consequence of the matter complained of in the reference. We are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not 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>persuaded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that there is any legal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basis on which this Court can import or imply such requirement into article 30.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first respondent’s written submissions and in the supplementary oral submissions by the learned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Deputy Solicitor-General of Kenya, a number of authorities were cited in support of the contentions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the claimants had no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locus standi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and/or had not disclosed a cause of action. Unfortunately, no copies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were availed to the Court despite undertaking to do so. One that we are able to comment on is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decision of the High Court of Kenya in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Jaramogi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Oginga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Odinga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Zachariah R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Chesoni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</w:t>
      </w:r>
      <w:r w:rsidR="006F1E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Attorney-General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miscellaneous application number 602 of 1992, a copy of which was availed by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counsel for the sixth respondent at the hearing of the interlocutory application. In that case, the High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of Kenya held that section 60 of the Constitution of the Republic of Kenya does not confer any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right to a litigant nor create a cause of action. By way of analogy, it is argued that article 30 ought to be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interpreted in the same way. We do not need to discuss the decision in any detail. We respectfully agree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>interpretation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. But, we hasten to point out that the provisions of section 60 of the Constitution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Kenya are not similar or comparable to the provisions of article 30 of the Treaty. The section only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vests jurisdiction,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albeit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unlimited jurisdiction, in the High Court of Kenya. The court held: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“The court’s unlimited powers ought to be and are used with judicial restraint and only in situations where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ends of justice may be defeated by failing to exercise them. To use these inherent or residual powers,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must be satisfied on grounds placed before it that the powers should indeed be used. That, in our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opinion, is what section 60(1) provides for. It does not create causes of action or courses to follow in those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actions.”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article 30, however, the Treaty confers on any person resident in a Partner State, the right to refer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specified matters to this Court for adjudication and as we have just said, by the same provision, it creates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 cause of action.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Section 60 of the Kenyan Constitution, is comparable to provisions of the Treaty that only vest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jurisdiction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without creating causes of action, like articles 27, 31 and 32, which respectively vest in this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jurisdiction to interpret the Treaty, to hear and determine disputes between the Community and its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employees and to hear and determine arbitration disputes in specified circumstances. We find a more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plausible comparison with article 30 of the Treaty to be in article 137 of the Constitution of the Republic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Uganda, which in clause (1) vests in the Constitutional Court the jurisdiction to interpret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Constitution and in clause (3) confers on any person the right to petition that court on an allegation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any Act of Parliament or other law, or any act or omission by any person or authority is inconsistent with,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 contravenes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Constitution, for a declaration to that effect. The Supreme Court of Uganda has in several decisions held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that the article thereby creates a cause of action. (See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Ismail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Serugo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Kampala City Council and</w:t>
      </w:r>
      <w:r w:rsidR="006F1E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ttorney-General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constitutional appeal number 2 of 1998).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Turning back to the claim in this reference, we note that the claimants make no secret of the fact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they were prompted to bring this reference by what they claim to be unlawful substitution of the third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interveners for the third ninth, tenth and eleventh complainants as the NARC nominees and the resultant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deeming of the former as elected members of the Assembly. Those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circumstances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per se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raise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question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whether the third interveners are elected members of the Assembly and the question is squarely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within the parameters of article 52(1), which provides: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“Any question that may arise whether any person is an elected member of the Assembly or whether any seat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the Assembly is vacant shall be determined by the institution of the Partner State that determines questions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election of members of the National Assembly responsible for the election in question.”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Needless to say, this provision also creates a cause of action under the Treaty. However, it is the one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cause of action under the Treaty over which this Court has no jurisdiction. Obviously, that is why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first respondent persistently seeks to strait-jacket this reference into the parameters of article 52(1),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cushion the initial argument that this Court has no jurisdiction over the reference, and additionally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contend that no cause of action triable by this Court is disclosed.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 should mention at this juncture that the same argument is reiterated in submissions on the second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framed issue, presumably in an effort to show that it is a non-issue. There, it is argued that the fact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 is not disputable, and that the substantive dispute arises from the two lists of nominees submitted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by NARC’s party leader and party whip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>respectively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. Four of the nominees on the party leader’s list who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were not elected, claim that they were the rightful nominees who should have been elected instead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third interveners who were on the party whip’s list. That dispute is not within the ambit of article 30.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Basically, it is a dispute on who should have submitted the NARC party nominees, which dispute should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have been solved through the internal party mechanism. Outside the party, it is, at most, a dispute as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whether the third interveners were lawfully elected and should have been referred to the High Court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Kenya under article 52.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But, under whatever context, the arguments turn round to one central theme, namely that the Court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ought not to determine this reference. In our view, the subtle variation introduced in submissions by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third interveners, that the Court had jurisdiction to grant the interim injunction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to hear the reference but has no jurisdiction to grant the remedies prayed for, makes no material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difference. We shall dispose of the said theme here and will not return to it under any other framed issue.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agree that if the only subject matter of the reference were those circumstances surrounding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substitution of the third interveners for the said four claimants, this Court would have no jurisdiction over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reference. In paragraphs 29 and 30 of the reference, however, the claimants have referred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Court, two other issues, which we consider to be the core and material pleadings for purposes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reference. It is those pleadings that disclose the special causes of action, which evoke this Court’s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jurisd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iction under the Treaty. And it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is only those pleadings that will be subject of adjudication in this reference. While it is apparent that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reference of the two issues is an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>afterthought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 in our considered opinion it is not tantamount to abuse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process as submitted by the first respondent.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ruling delivered on 27 November 2006, we held that the Court has jurisdiction to hear and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determine the reference. We find no reason to review that decision. Whatever we say on the matter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hereafter is to provide the details of our reasons for the decision, as we undertook to do in the said ruling.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Under article 33(2), the Treaty obliquely envisages interpretation of Treaty provisions by national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courts. However, reading the pertinent provision with article 34 leaves no doubt about the primacy if not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supremacy of this Court’s jurisdiction over the interpretation of provisions of the Treaty. For clarity, it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useful to reproduce here, the two articles in full. </w:t>
      </w: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33 provides: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“(1)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>except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where jurisdiction is conferred on the Court by the Treaty, disputes in which the Community is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 party shall not on that ground alone, be excluded from the jurisdiction of the national courts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Partner States.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(2)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Decisions of the Court on the interpretation and application of this Treaty shall have precedence over</w:t>
      </w:r>
      <w:r w:rsidR="006F1E8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decisions of the national courts on a similar matter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.” [Emphasis mine.]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And article 34 provides: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“When a question is raised before any court or tribunal of a Partner State concerning the interpretation 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application of this Treaty or the validity of the regulations, directives, decisions or actions of the Community,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court or tribunal shall, if it considers that a ruling on the question is necessary to enable it to give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judgment, request the Court to give a preliminary ruling on the question.”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purpose of these provisions is obviously to ensure uniform interpretation and avoid possible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conflicting decisions and uncertainty in the interpretation of the same provisions of the 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33(2) appears to envisage that in the course of determining a case before it, a national court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may interpret and apply a Treaty provision. Such envisaged interpretation, however, can only be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incidental. The article neither provides for nor envisages a litigant directly referring a question as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interpretation of a Treaty provision, to a national court. Nor is there any other provision directly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conferring on the national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courts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jurisdiction to interpret the Treaty. </w:t>
      </w: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30 on the other hand, confers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a litigant resident in any Partner State the right of direct access to the court for determination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issues set out therein. We therefore, do not agree with the notion that before bringing a reference under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30, a litigant has to “exhaust the local remedy”. In our view there is no local remedy to exhaust.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would express reservations about the supplementary or alternative notion that a litigant who fails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secure relief from the national courts under article 52 would have recourse to this Court to seek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same relief.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Lastly, the third and fourth respondents were not joined for being privy to the actions of the Republic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Kenya or for any wrong they did. They were joined, as learned counsel rightly concedes, because of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relief sought by the claimants, namely the prayer that they be restrained in the terms set out not only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interlocutory application but also in the reference. The submission would have made more sense if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 came prior to the hearing of the reference.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Accordingly, we answer Issue number one in the affirmative.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Submissions on Issue number two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main thrust of the claimants’ submissions on the second and third issues is that no election, within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meaning of article 50 of the Treaty, was undertaken and that the Election Rules do not provide for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election. The process provided for by the Election Rules and what actually transpired, amount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antithesis of an election.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claimants maintain that the expression “shall elect” as used in article 50 can only mean “shall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choose by vote”. That is the ordinary meaning as defined in several dictionaries and as it is understood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practiced not only in all three Partner States, but also in international democratic practice worldwide.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Under the Constitution and electoral laws of Kenya that govern the elections of the President and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Speaker, Deputy Speaker and Members of Parliament, election means election through voting.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provision in the Treaty that “the National Assembly shall elect” therefore, does not import a concept that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is unknown to or that differs from that envisaged and practiced by the Republic of Kenya.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affidavit evidence shows that three parliamentary political parties, namely NARC, KANU and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FORD-K, submitted to the House Business Committee names of persons nominated for election as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 of the Assembly. On 26 October 2006, the Chairman of the House Business Committee simply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tabled in the National Assembly a list of names of nine persons stated to be nominated by the said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political parties. That list did not include the names of the third, ninth, tenth and eleventh claimants who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had been validly nominated as NARC nominees because at the initiative of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Norman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Nyagah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Government Chief Whip, the House Business Committee had replaced them with the names of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third interveners. As stipulated by the election rules, the nine persons were thereby deemed to be elected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by the National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Significantly, when introducing the nine names to the House, the Vice-President, who is also the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Leader of Government Business, said, as his predecessor had said on the equivalent occasion in 2001,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the nine persons were “appointed”. Both leaders knowing the difference between “elected” and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“appointed” used the latter word because what had transpired in the House Business Committee was not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 election but an appointment of the nine persons. Besides, this was consistent with what the said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Government Chief Whip said in his speech recorded on the DVD, bragging immediately prior to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>process that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only he would name those to be sent to the Assembly. All that goes to show is that what had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transpired was not an election by the National Assembly, but was at best “an appointment” by the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Government controlled, House Business Committee.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submissions on this issue, for the first respondent and the supporting interveners, may be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summarised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as follows. The words “election” and “elect” as used in article 50 do not necessarily connote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choosing or selecting by voting. They are not defined in the Treaty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Black’s Law Dictionary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defines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“election” as: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6F1E81" w:rsidRPr="00530C4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process of selecting a person to occupy an office (usually a public office)”.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Furthermore, though under article 6 of the Treaty, the Partner States are committed to adhere to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democratic principles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”, no specific notion of democracy is written into the article or the 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Besides, while article 50 provides for the National Assembly of each Partner State to elect nine members</w:t>
      </w:r>
      <w:r w:rsidR="006F1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Assembly, it gives no directions on how the election is to be done, except for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stipulations that the nine must not be elected from members of the National Assembly and that as far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 feasible, they should represent specified groupings. Instead, it is expressly left to the National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of each Partner State to determine its procedure for the election. This is in recognition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fact that each Partner State has its peculiar circumstances to take into account. The essence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provision in article 50 is that “the National Assembly of each Partner State shall elect … nine members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Assembly … in accordance with such procedure as [it] may determine.”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first interveners, supplements this submission with the argument that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power and discretion of the National Assembly under article 50(1) is so unfettered that the National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may determine a procedure of election that excludes itself from actual or physical voting.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exercise of that power and discretion, the Kenya National Assembly determined its procedure in 2001 by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making the election rules, which must be respected.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It is not in dispute that only entitled parliamentary political parties nominated candidates for election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submitted their names to the House Business Committee. Being satisfied that they were qualified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 elected and that they complied with the terms of article 50, the House Business Committee approved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nine of the nominees on 26 October 2006 and on the same day tabled their names before the National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Assembly. Thereupon, by virtue of the election rules, the nine nominees were deemed to be elected by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National Assembly. The Speaker confirmed that the process was conducted in accordance with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 rules. The process is a mode of democratic election by proportional representation as practiced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not only in Kenya but also in several other democratic countries.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question that the Court should have been appropriately asked to consider is whether the process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conforms to the conditions stipulated in article 50. However, the question did not arise since it was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neither alleged, let alone proved, that any of the nine elected persons was not qualified nor that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specified representations, namely representations of various political parties, shades of opinion, gender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other special interest groups were not achieved.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second intervener supplemented the submissions in support of an affirmative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answer to the second framed issue, with the contention that a proper interpretation of article 50 is not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consider the meaning of the expression “to elect” in isolation but as one with the procedure that article 50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empowers the National Assembly to determine. For the purpose of article 50 therefore, an election means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the process determined by the National Assembly as set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out in the election rules. If the court undertakes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task of giving dictionary meaning to the expressions “to elect” and “an election” it will be assuming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role of making rules of procedure, which is the preserve of the National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 on Issue number two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first step towards answering the second framed issue is to resolve the conflict of two basic concepts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the import of article 50 that underlie these submissions. One concept is that the article imposes 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each National Assembly the function of electing nine members of the Assembly from the respective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Partner States, with a discretionary power to determine the procedure it will follow in executing that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function. The other conc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ept is that the article confers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the National Assembly of each Partner State the responsibility,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with unfettered discretion, to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determine how the nine members of the Assembly from the respective Partner States are to be elected.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find out which of the two concepts reflects the correct object and purpose of article 50 as intended by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parties to the Treaty, we have to consider the provisions of the article in the context of the Treaty as a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whole.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However, in view of paragraph 3(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) of article 31 of the Vienna Convention, it is necessary to consider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first if Kenya’s practice in its application of article 50 since 2001, establishes any agreement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parties regarding the interpretation of that article. No evidence was adduced on the practice by the other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two parties in their application of article 50. However, from the differences between the Election Rules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the equivalent rules of procedure adopted by the National Assemblies of Tanzania and Uganda,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copies of which were availed to Court in the course of oral submissions by counsel, it is evident, and we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are able to conclude, that no agreement of the parties regarding interpretation of article 50, can be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inferred from the said practice. On the surface, the Tanzania rules provide for elaborate elections by the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National Assembly, while the Ugandan rules are silent on the issue of election, save that in rule 2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325E20" w:rsidRPr="00530C42">
        <w:rPr>
          <w:rFonts w:ascii="Times New Roman" w:hAnsi="Times New Roman" w:cs="Times New Roman"/>
          <w:color w:val="000000"/>
          <w:sz w:val="24"/>
          <w:szCs w:val="24"/>
        </w:rPr>
        <w:t>Election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” is defined as “a process of approval of names nominated by political parties and presented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House by the Speaker”, and in rules 10 and 11 they provide for the Speaker to announce to the House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“nominations” of members of the Assembly and for the publication in the Gazette of the names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“elected members” as soon as the Speaker announces them. Clearly, there is glaring lack of uniformity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application of article 50.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As we said earlier in this judgment, the Treaty creates eight organs of the Community. </w:t>
      </w:r>
      <w:r w:rsidR="00325E20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prescribes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composition of each organ and how its membership is to be constituted. Memberships of four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organs, namely, the Summit, the Council, the Co-ordination Committee and Sectoral Committees are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principally constituted by specified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officio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 and additional members determined by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Partner States from time to time. They are all serving officials of the Partner States. The membership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Court and the judicial organ of the Community, consists of Judges appointed by the Summit 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recommendations of the Partner States. The Secretariat, the executive organ of the Community is also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constituted by appointees. The Secretary-General is appointed by the Summit upon nomination by a Head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State. The Deputy Secretaries-General are appointed by the Summit on recommendation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Council. And, the counsel to the Community is appointed on contract.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Assembly is differently constituted. Its composition is prescribed in article 48. It is the only organ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composed of two categories of membership, namely, 27 elected and 5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officio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members. In article 50,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Treaty prescribes how the first category of membership is to be constituted, and qualifications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50 is titled: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“Election of Members of the Assembly.”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And the full text reads: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“(1)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National Assembly of each Partner State shall elect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, not from among its members,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nine members</w:t>
      </w:r>
      <w:r w:rsidR="00325E2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 the Assembly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 who shall represent as much as is feasible, the various political parties represented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the National Assembly, shades of opinion, gender and other special interest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groups in that Partner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State,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accordance with such procedure as the National Assembly of each Partner State may</w:t>
      </w:r>
      <w:r w:rsidR="00325E2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determine.</w:t>
      </w:r>
    </w:p>
    <w:p w:rsidR="0038672D" w:rsidRPr="00530C42" w:rsidRDefault="00325E20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(2) </w:t>
      </w:r>
      <w:r w:rsidR="0038672D"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person shall be qualified to be elected a member of the Assembly by the National Assembly of 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38672D"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Partner State </w:t>
      </w:r>
      <w:r w:rsidR="0038672D" w:rsidRPr="00530C42">
        <w:rPr>
          <w:rFonts w:ascii="Times New Roman" w:hAnsi="Times New Roman" w:cs="Times New Roman"/>
          <w:color w:val="000000"/>
          <w:sz w:val="24"/>
          <w:szCs w:val="24"/>
        </w:rPr>
        <w:t>in accordance with paragraph 1 of this article if such a person: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="00325E20">
        <w:rPr>
          <w:rFonts w:ascii="Times New Roman" w:hAnsi="Times New Roman" w:cs="Times New Roman"/>
          <w:color w:val="000000"/>
          <w:sz w:val="24"/>
          <w:szCs w:val="24"/>
        </w:rPr>
        <w:t>) i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 a citizen of that Partner State;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proofErr w:type="gramEnd"/>
      <w:r w:rsidR="00325E20">
        <w:rPr>
          <w:rFonts w:ascii="Times New Roman" w:hAnsi="Times New Roman" w:cs="Times New Roman"/>
          <w:color w:val="000000"/>
          <w:sz w:val="24"/>
          <w:szCs w:val="24"/>
        </w:rPr>
        <w:t>) i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 qualified to be elected a member of the National Assembly of that Partner State under its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Constitution;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proofErr w:type="gramEnd"/>
      <w:r w:rsidR="00325E20">
        <w:rPr>
          <w:rFonts w:ascii="Times New Roman" w:hAnsi="Times New Roman" w:cs="Times New Roman"/>
          <w:color w:val="000000"/>
          <w:sz w:val="24"/>
          <w:szCs w:val="24"/>
        </w:rPr>
        <w:t>) i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 not holding office as a Minister in that Partner State;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proofErr w:type="gramEnd"/>
      <w:r w:rsidR="00325E20">
        <w:rPr>
          <w:rFonts w:ascii="Times New Roman" w:hAnsi="Times New Roman" w:cs="Times New Roman"/>
          <w:color w:val="000000"/>
          <w:sz w:val="24"/>
          <w:szCs w:val="24"/>
        </w:rPr>
        <w:t>) i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 not an officer in the service of the Community; and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proofErr w:type="gramEnd"/>
      <w:r w:rsidR="00325E20">
        <w:rPr>
          <w:rFonts w:ascii="Times New Roman" w:hAnsi="Times New Roman" w:cs="Times New Roman"/>
          <w:color w:val="000000"/>
          <w:sz w:val="24"/>
          <w:szCs w:val="24"/>
        </w:rPr>
        <w:t>) h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 proven experience or interest in consolidating and furthering the aims and objectives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Community.” [Emphasis mine.]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Clearly, the overriding object and purpose of article 50 is to prescribe a special mode of constituting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first category of membership of the Assembly. This is done by providing in express, unambiguous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mandatory terms that the section of the Assembly comprising 27 members shall be constituted by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 elected severally by the National Assemblies of the Partner States, each of which is entitled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 nine members. We should observe that this is a notable departure from provisions of articles 56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57 of the 1967 Treaty for East African Co-operation, under which each Partner State was mandated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“appoint nine” of the “twenty-seven appointed members” of the Legislative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It is also significant that unlike in respect of the other organs, the Treaty does not leave it to each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Partner State to appoint or nominate for appointment or otherwise determine the members of the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Assembly. In our view, according to the ordinary meaning of the expression “the National Assembly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each Partner State shall elect nine members of the Assembly”, the National Assembly of each Partner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State is unconditionally assigned the function of electing nine members of the Assembly. In other words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50 constitutes the National Assembly of each Partner State into “an electoral college” for electing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Partner State’s nine representatives to the Assembly. We think that there can be no other purpose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naming the National Assembly in this regard other than to constitute it into an electoral college.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rest of the provisions of article 50 do not add to or subtract from that assignment. They only serve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leave two matters in the National Assembly’s discretion. First, while the article provides that the nine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elected members shall as much as feasible be representative of the specified groupings, by implication it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appears that the extent of the feasibility of such representation is left to be determined in the discretion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National Assembly. Secondly, the National Assembly has the discretion to determine the procedure it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has to follow in carrying out the election.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our considered view, the decision to constitute the National Assembly of each Partner State into an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electoral college was a deliberate step towards establishing a legislature comprising people’s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representatives. The National Assembly, being an institution of people’s representatives, is next to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people themselves, the second best forum for electing such representatives. We are therefore not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persuaded by the submission of counsel for the first interveners that the discretion of determining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procedure of electing the representatives includes an option for the National Assembly to assign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function to any other body. That submission has the effect of extending the discretion beyond what is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provided in article 50. It also offends the </w:t>
      </w:r>
      <w:r w:rsidR="00325E20" w:rsidRPr="00530C42">
        <w:rPr>
          <w:rFonts w:ascii="Times New Roman" w:hAnsi="Times New Roman" w:cs="Times New Roman"/>
          <w:color w:val="000000"/>
          <w:sz w:val="24"/>
          <w:szCs w:val="24"/>
        </w:rPr>
        <w:t>well-established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principle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articulated in the maxim: “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Delegata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potestas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non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potest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delegari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” (a delegated power cannot be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delegated).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next step towards answering the second framed issue is to consider what is meant by the words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“election” and “elect” in the setting they are applied in article 50 and in the context of the Treaty as a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whole. The first respondent and the supporting interveners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capitalise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on the absence of any definition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those words in the Treaty and on the fact that the words are capable of bearing meanings other than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choosing by vote. However, neither fact leads to any material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consequence. The absence of any definition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words in the Treaty is not ground to contend that the parties to the Treaty attached no meaning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them. The phenomenon of double or even multiple meanings of words is a common occurrence but does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not prevent a court giving the word interpretation in the context it is used. In International Law and Order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by Professor Georg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Scwarzenberger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, (Stevens and Sons, London 1971), under the Chapter on Treaty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Interpretation, the learned author, commenting on article 31 of the Vienna Convention on the Law of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Treaties, which we reproduced earlier in this judgment, says at page 121: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“In accordance with the general rule on interpretation in the Vienna Convention, the object of treaty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interpretation is to give their ‘ordinary’ meaning to the terms of the treaty in their context and in the light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its object and purpose.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Unfortunately, almost any word has more than one meaning. The word ‘meaning’ itself has at least sixteen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different meanings. Thus if parties are in dispute on any term of a treaty, each one of them is likely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consider the meaning it attaches to a particular word as the ordinary meaning in the context and in the light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object and purpose of the treaty.”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Fortunately, the words that are under consideration do not bear a multiplicity of meanings. It is common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ground that the ordinary meanings of the words “election” and “to elect” are “choice” and “to choose”,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respectively; and that in the context of article 50 the words relate to the National Assembly choosing or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selecting persons to hold political positions. What is in contention is whether the parties to the Treaty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intended the choice or selection to be done through a process of voting or through any other process to be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determined by each of the three National Assemblies.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phenomenon of multiple meanings of words makes interpretation of documents a very difficult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task; but the task is not insurmountable. Rules of interpretation have been designed to ease the burden,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hence the need to invoke them. Indeed, in the instant case, the contention revolves more on the intention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parties to the Treaty than on the meaning of the words. Two trite rules of international law, which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emanate from the principle of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pacta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sunt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servanda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are of particular relevance here. One is that treaty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provisions are presumed to have meaning and must not be construed as void for uncertainty, in the </w:t>
      </w:r>
      <w:r w:rsidR="00325E20" w:rsidRPr="00530C42">
        <w:rPr>
          <w:rFonts w:ascii="Times New Roman" w:hAnsi="Times New Roman" w:cs="Times New Roman"/>
          <w:color w:val="000000"/>
          <w:sz w:val="24"/>
          <w:szCs w:val="24"/>
        </w:rPr>
        <w:t>way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contracts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between private persons may be construed at municipal law. The other is that the parties to a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treaty cannot be taken to have intended an absurdity. (See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Manual of Public International Law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edited by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Professor Max Sorensen, Uganda Publishing House Limited 1968; paragraph 4.30 and 4.31).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our view, it would lead to unnecessary uncertainty, if not to absurdity, if article 50 were construed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mean that the parties to the Treaty intended to attach no meaning to the words “election” and “to elect”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used in article 50, leaving it to each National Assembly to adopt its preferred meaning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words through the rules of procedure it determines. Counsel for the first interveners advanced a theory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the matter was intentionally left open-ended because of differences in the level of political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development of the Partner States and in support of the theory relied on, for the inclusion of the principle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asymmetry among the operational principles of the Community, set out in article 7 of the Treaty. With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due respect to learned counsel, we find no legal or factual basis for his perception or speculation that at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time of entering into the Treaty the Partner States were at different levels of political development.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 our understanding, the operational principle of asymmetry he cited in support of his argument, relates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325E20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>acknowledged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economic imbalances for whose rectification 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he parties have, by appropriate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protocol, set a formula and time-frame. It is not applicable to any imagined uneven political development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Partner States.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think that articles 5 and 6 have a bearing on the subject at hand. By the Treaty, the Partner States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established themselves into the Community, for the achievement of elaborate objectives set out in article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5. For purposes of this judgment it suffices to say that the overall objective is developing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strengthening co-operation in specified fields for the mutual benefit of the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Partner States; and further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establishing among themselves, into several stages of integration up to a Political Federation, in order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attain,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 a raised standard of living and improved quality of life for their populations. Article 6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outlines five sets of fundamental principles that the parties chose to govern their achievement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Community objectives. Again for the purpose of this judgment it suffices to highlight only (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) and (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namely the principles of: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mutual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trust, political will and sovereign equality;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) good governance including adherence to the principles of democracy.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Two other facts are worthy of taking into account. Ordinarily, a reference to a democratic election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persons to political office is understood to mean election by voting. Secondly, in all three Partner States,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National Assembly has the function of electing its Speaker and Deputy Speaker. It executes that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function by voting in one form or another.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Constitution of the Republic of Kenya provides in sections 37 and 38 that the Speaker and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Deputy Speaker, respectively, shall be elected by the National Assembly. Those provisions are reiterated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standing orders, which then set out an elaborate procedure of conducting the election by ballot.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contrast, Order 154 provides that Members and the Chairman of any select committee shall </w:t>
      </w:r>
      <w:proofErr w:type="gram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End"/>
      <w:r w:rsidRPr="00530C42">
        <w:rPr>
          <w:rFonts w:ascii="Times New Roman" w:hAnsi="Times New Roman" w:cs="Times New Roman"/>
          <w:color w:val="000000"/>
          <w:sz w:val="24"/>
          <w:szCs w:val="24"/>
        </w:rPr>
        <w:t>nominated” by the House Business Committee unless nominated by the House on setting up the select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committee. Under Order 155, the House Business Committee may “appoint” in place of a member whose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membership has ceased or who is absent, another member to act. In the scenarios under Orders 154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155, no voting is envisaged.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view of all the foregoing, we find it very unlikely that in adopting article 50, the parties to the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 contemplated, let alone intended, that the National Assembly would elect the members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other than through voting procedure. Needless to say, an election through voting may be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accomplished using such diverse procedures as secret ballot, show of hands or acclamation. The electoral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process may or may not involve such preliminaries as campaigns, primaries and/or nominations. An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election may 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be contested or uncontested. In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our considered view, the bottom line for compliance with article 50 is that the decision to elect is a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decision of and by the National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evidence before us leads to only one conclusion, namely that the National Assembly of Kenya did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not undertake or carry out an election within the meaning of article 50 of the 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Submissions on Issue number three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On the third issue specifically, the claimants contend that the Election Rules do not meet the threshold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set by article 50, and to that extent have no bearing on the article. In formulating the election rules,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Kenya National Assembly disregarded the limits of its discretion under article 50. This is particularly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borne out by the evidence from the Hansard reports of the debate in the National Assembly in 2001.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evidence clearly indicates that the rules were adopted notwithstanding that their inconsistency with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 50 was articulated by a number of contributors to the debate. In that connection, during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proceedings of 26 October 2006, in the course of ruling that the National Assembly was bound by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 Rules it adopted against his advice in 2001, the Speaker observed that the Kenya National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was living a lie with regard to election of members of the Assembly and urged the House to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re-look at his rejected draft rules as it had a right and duty to amend,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 rules that are not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consonance with the expectations of the public.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Learned counsel for the claimants urged that in interpreting the Treaty relative to the election rules,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court must bear in mind the principle of equivalence, which requires that the Treaty be applied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uniformly among the Partner States; and the principle of primacy of community law in case of conflict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with national law.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first respondent on the other hand submits that the Election Rules do comply with article 50.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Under the Treaty each Partner State has the discretion to choose any democratic electoral system for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election of the members of the Assembly. The Election Rules made by the Kenya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National Assembly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establish such a democratic electoral system of proportional representation. They do not infringe article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50 in any way and the court should respect them.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first interveners support the submission that the Election Rules were lawfully made by the Kenya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National Assembly within its discretion under, and in compliance with, article 50(1). They submit that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interpreting that article and applying it to the election rules, the Court should take the rules as they are,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not consider whether the rejected drafts were better. The court cannot question the validity of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rules on basis of whether they are democratic enough. They were made by the competent authority and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were adopted in a democratic manner after a detailed and focused debate. The court may only determine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if in making the rules the National Assembly complied with its mandate to determine a procedure that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caters for the stipulations under article 50.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 addition it is contended that the claimants are estopped from challenging the validity of the election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rules, which they recognised and relied on up to the conclusion of the election.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Findings on Issue number three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should at the outset reiterate that the point we have to decide on under this issue is whether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Election Rules constitute an infringement of article 50 of the Treaty. It is therefore, immaterial that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claimants or any of them may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have previously regarded the Election Rules as valid or may have done anything or taken any step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pursuance of their provisions. We say this because it is our firm view that once a question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infringement of the Treaty is properly referred to this Court under article 30, the question ceases to be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purely personal interest. This court would be failing in its duty under article 23 if it refuses to determine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question on the ground of the claimant’s previous conduct or belief.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Furthermore, it is well settled that the doctrine of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estoppel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cannot be raised against the operation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statute. (See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Maritime Electric Company Ltd v General Dairies Limited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[1937] 1 All ER 748;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Southend-on-Sea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Corporation v Hodgson (Wickford) Limited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[1961] 2 All ER 46 and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Tarmal</w:t>
      </w:r>
      <w:proofErr w:type="spellEnd"/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Industries v Commissioner of Customs and Excise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[1968] EA 471). Similarly, in our view,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estoppel</w:t>
      </w:r>
      <w:r w:rsidR="00325E2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cannot be invoked to prevent an inquiry into an alleged infringement of the Treaty. If the rules made in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exercise of power conferred by article 50 are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ultra vires,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they cannot be saved on the ground that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claimants previously regarded them as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intra vires.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point of inquiry under this issue is what the rules provide in regard to “election of the members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Assembly.” Consequently, the first respondent misses the point when he submits that through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rules, the National Assembly adopted a democratic system of proportional representation. Proportional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representation can be effected through nomination and/or appointment as is the case, under article 33 of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Kenya Constitution, for the “nominated members” of the National Assembly. In any case, it is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Treaty that provides for proportional representation in the Assembly, and which directs that the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representation shall be achieved by election. The critical point is not whether the rules provide for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proportional representation but whether they provide for election of members of the Assembly on basis</w:t>
      </w:r>
      <w:r w:rsidR="00325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724CF1"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proportional 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>representation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as provided by article 50.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Election Rules provide in rule 4, that the National Assembly shall elect the nine members of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“according to the proportion of every party in the National Assembly”. To that extent, there 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partial compliance with article 50. However, the apparent absence of any provision to cater for gender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and other special interest groups is a significant degree of non-compliance, notwithstanding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discretion of the National Assembly in determining the extent and feasibility of the representation.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major deviation from article 50 is that the Election Rules do not provide for the National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to elect the members of the Assembly. Rule 5 provides for the nomination of candidates by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political parties and sets out the procedure for submitting nomination papers to the House Business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Committee. Rules 6 and 7 then provide: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“(6) The House Business Committee shall consider the nominees of the parties delivered to it under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sub-rule (4) of rule 5 and shall ensure that the requirements of article 50 of the Treaty are fulfilled.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(7) Upon being satisfied that the requirements of rule 6 have been complied with, the House Business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Committee shall cause the names of nine nominees of the parties to be tabled before the National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Assembly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 such nominees shall be deemed to have been elected as members of the East African</w:t>
      </w:r>
      <w:r w:rsidR="00724C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Legislative Assembly in accordance with article 50 of the Treaty.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” [Emphasis m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ine.]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 is not clear if “the requirements of article 50” mentioned in rule 6 and “the requirements of rule 6”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mentioned in rule 7 are the same or different, thus making the role of the House Business Committee in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the process rather uncertain. What we can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deduce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from the rules is that its role is to vet the nominees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ensure that they qualify to be elected and presumably that they are representative of the groupings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specified in article 50. Be that as it may, it is plain from the two rules that the nine nominees are not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elected by the House Business Committee, contrary to a spirited effort by counsel for the third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interveners to argue that the House Business Committee is “an electoral college”. If that were so, it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would be unnecessary to stipulate that the nominees are deemed to be elected by the National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Indeed the use of the expression “nominees are deemed to be elected” signifies that the nominees are not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elected.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same learned counsel persuasively argued that the word “deem” is a good legal word in common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usage. He asserted: “We deem that which in law ought to have taken place, to have taken place.”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 agree that the word ‘deemed’ is commonly used both in principal and subsidiary legislation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create what is referred to as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legal or statutory fiction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. The legislature uses the word for the purpose of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assuming the existence of a fact that in reality does not exist. In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Aubyn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(LM) v A-G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[1951] 2 All ER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473, Lord Radcliffe describes the various purposes for which the word is used where, at page 498 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says: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“The word “deemed” is used a great deal in modern legislation. Sometimes it is used to impose for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purpose of a statute an artificial construction of a word or phrase that would not otherwise prevail. Sometimes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 is used to put beyond doubt a particular construction that might otherwise be uncertain. Sometimes it 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used to give a comprehensive description that includes what is obvious, what is uncertain and what is, in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ordinary sense, impossible.”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It is common ground that the Election Rules were made “in exercise of the powers conferred by </w:t>
      </w:r>
      <w:r w:rsidR="00724CF1" w:rsidRPr="00530C42">
        <w:rPr>
          <w:rFonts w:ascii="Times New Roman" w:hAnsi="Times New Roman" w:cs="Times New Roman"/>
          <w:color w:val="000000"/>
          <w:sz w:val="24"/>
          <w:szCs w:val="24"/>
        </w:rPr>
        <w:t>article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50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(1) of the Treaty”, and obviously for the purpose of implementing the provisions of the said article. In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rule 7, the legislature used the word “deemed” in order to create the fiction that upon the names of party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nominees being laid on the table they would in law be elected by the National Assembly as members of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Assembly although in reality they are not so elected. The reason for creating that fiction is that article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50 of the Treaty expressly provides that the nine members of the Assembly from each Partner State shall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 elected by the National Assembly. In other words, the fiction was created to circumvent an express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provision of the Treaty.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Indira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Sawhney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Union of India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JT [1999] (9) SC 557: (2000) 1 SCC 168, a statutory declaration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non-existent facts as existing, which was unrelated to existing facts was held to be in violation of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articles 14 and 16 of the Indian Constitution. Similarly, we hold that rules made for the purpose of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implementing provisions of the Treaty cannot be permitted to violate any provision of the Treaty through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use of legal fiction. To uphold the legal fiction in rule 7 of the Election Rules would be tantamount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upholding an amendment of article 50, by one Partner State unilaterally. We can find no justification for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doing so.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The dichotomy that this situation poses is as follows: The National Assembly of any democratic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sovereign state has the powers of regulating its conduct through rules of procedure by whatever name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called. Once made and adopted, they are binding until revoked, amended or otherwise modified by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National Assembly itself. Ordinarily, what the National Assembly does in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accordance with such rules 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lawful and valid. However, a State, which in exercise of its sovereign power binds itself to an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international treaty, may end up facing conflicting demands, namely the demand to abide by its treaty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obligations and the demand to abide by its own rules that conflict with the former.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reference, the claimants plead, and in the written submissions by counsel it is reiterated, that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Election Rules were not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gazetted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or published. However, it was not seriously canvassed, let alone proved,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that failure to gazette or publish them rendered the rules invalid or of no legal effect. In the written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submission the rules are described as “window dressing” with no bearing on article 50, with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additional passing remark: “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They have not even been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gazetted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or published independently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 make this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observation because proof that the rules are of no legal effect would have erased or avoided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dichotomy. As it is, however, we start from the position that the rules are binding on the National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and then consider if their inconsistency with or infringement of article 50 renders them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unlawful and not binding on the National Assembly.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As we pointed out earlier in this judgment, the Treaty provides in article 33(2) that decisions of this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 on the interpretation of provisions of the Treaty shall have precedence over decisions of national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courts on a similar matter. That provides a clear-cut solution in the event of conflicting court decisions.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But, the Treaty does not provide a similarly explicit solution to the dichotomy where a Treaty provision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(say Community rule) is in conflict with a national rule.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think the solution lies in the basic principle at international law, to the effect that a State, party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 treaty cannot justify failure to perform its treaty obligation by reason of its internal inhibitions. It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cannot be lawful for a State that with others voluntarily enters into a treaty by which rights and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obligations are vested, not only on the state parties but also on their people, to plead that it is unable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perform its obligation because its laws do not permit it to do so. The principle is embodied in article 27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Vienna Convention on the Law of Treaties, which reads: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“A party may not invoke the provisions of its internal law as justification for its failure to perform a treaty.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This rule is without prejudice to article 46.”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were referred to several judicial decisions arising from natio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nal law that contravened or was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inconsistent with European community law, as persuasive authorities on this subject. (See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Algemene</w:t>
      </w:r>
      <w:proofErr w:type="spellEnd"/>
      <w:r w:rsidR="00724C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Transporten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Expeditie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Onderneming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van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Gend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Loos v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Nederlandse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Administratie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der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Belastingen</w:t>
      </w:r>
      <w:proofErr w:type="spellEnd"/>
      <w:r w:rsidR="00724C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[1963] ECR 1;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Flaminio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Costa v ENEL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[1964] ECR 585 and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Amminstrazione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delle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Finanze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dello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Stato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724C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Simmenthal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[1978] ECR 629). In some cases the national law in issue was in existence when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community law came into force, while in others it was enacted after the community law. In either case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where there is conflict between the community law and the national law, the former is given primacy in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order that it may be applied uniformly and that it may be effective.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For purpose of illustration, it suffices to briefly describe what are commonly called the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Factortame</w:t>
      </w:r>
      <w:proofErr w:type="spellEnd"/>
      <w:r w:rsidR="00724CF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cases. Spanish fishermen who owned British registered fishing boats challenged in the British courts new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English legislation for being discriminatory in breach of European Community law. They applied for an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interim injunction to postpone the operation of the new legislation pending a preliminary ruling on a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reference made to the European Court of Justice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(“ECJ”), to determine if the law was contrary to Community law. The House of Lords dismissed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application on the ground that under the English law the courts cannot issue an injunction against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Crown. That decision was also referred to the ECJ which held that the full effectiveness of Community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law would be impaired if a rule of national law could prevent a court seized of a dispute governed by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Community law from granting an interim relief. On basis of the preliminary ruling by the ECJ, the House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of Lords in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Secretary of State for Transport, ex parte </w:t>
      </w:r>
      <w:proofErr w:type="spellStart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Factortame</w:t>
      </w:r>
      <w:proofErr w:type="spellEnd"/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Ltd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number 2 [1991] 1 AC 603,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reconsidered and reversed its previous decision.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the instant reference, the position of the first respondent and the supporting interveners appears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 on weaker ground. First, while we appreciate that the Election Rules were subject of a full debate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touching on the provisions of article 50, and that the rules were adopted through a democratic decision,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decision was made irrespective of the awareness of the possibility that the rules were an infringement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on article 50. Secondly, it is noteworthy, that the National Assembly made the rules not in exercise of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sovereignty inherent in a state, but in exercise of a discretionary power conferred on it by the Treaty. It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was bound to make rules that conform to the primary purpose of the article that conferred the power,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which primary purpose is to provide for the election of nine members of the Assembly by the National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Assembly of each Partner State. That purpose is defeated by the provision of rule 7 of the election rules,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which provides for a fictitious election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lieu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a real election.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We therefore find that the Election Rules infringe article 50 to the extent of their inconsistency with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it, which we have identified.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In the result we declare that the National Assembly of Kenya did not undertake an election within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meaning of article 50 of the Treaty and that the Election Rules in issue infringe the same article.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We order that the claimants shall have costs of the reference to be borne by the first respondent and to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be taxed by the Registrar taking into account that a single applicant could have presented the reference.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All other parties shall bear their own costs.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Before taking leave of this reference we are constrained to observe that the lack of uniformity in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application of any article of the Treaty is a matter for concern as it is bound to weaken the effectiveness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of the Community law and in turn undermine the achievement of the objectives of the Community. Under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article 126 of the Treaty the Partner States commit themselves to take necessary steps to, </w:t>
      </w: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harmonise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 all their national laws appertaining to the Community”. In our considered opinion this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 xml:space="preserve">reference has demonstrated amply the urgent need for such </w:t>
      </w:r>
      <w:proofErr w:type="spellStart"/>
      <w:r w:rsidRPr="00530C42">
        <w:rPr>
          <w:rFonts w:ascii="Times New Roman" w:hAnsi="Times New Roman" w:cs="Times New Roman"/>
          <w:color w:val="000000"/>
          <w:sz w:val="24"/>
          <w:szCs w:val="24"/>
        </w:rPr>
        <w:t>harmonisation</w:t>
      </w:r>
      <w:proofErr w:type="spellEnd"/>
      <w:r w:rsidRPr="00530C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Secondly, we also are constrained to say that when the Partner States entered into the Treaty, they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embarked on the proverbial journey of a thousand miles which of necessity, starts with one step. To reach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the desired destination they have to ensure that every subsequent step is directed forward, towards that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destination and not backwards or away from the destination. There are bound to be hurdles on the way.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One such hurdle is balancing individual state sovereignty with integration. While the Treaty upholds the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principle of sovereign equality, it must be acknowledged that by the very nature of the objectives they set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0C42">
        <w:rPr>
          <w:rFonts w:ascii="Times New Roman" w:hAnsi="Times New Roman" w:cs="Times New Roman"/>
          <w:color w:val="000000"/>
          <w:sz w:val="24"/>
          <w:szCs w:val="24"/>
        </w:rPr>
        <w:t>out to achieve, each Partner State is expected t</w:t>
      </w:r>
      <w:r w:rsidR="00724CF1">
        <w:rPr>
          <w:rFonts w:ascii="Times New Roman" w:hAnsi="Times New Roman" w:cs="Times New Roman"/>
          <w:color w:val="000000"/>
          <w:sz w:val="24"/>
          <w:szCs w:val="24"/>
        </w:rPr>
        <w:t xml:space="preserve">o cede some amount of </w:t>
      </w:r>
      <w:bookmarkStart w:id="0" w:name="_GoBack"/>
      <w:bookmarkEnd w:id="0"/>
      <w:r w:rsidRPr="00530C42">
        <w:rPr>
          <w:rFonts w:ascii="Times New Roman" w:hAnsi="Times New Roman" w:cs="Times New Roman"/>
          <w:color w:val="000000"/>
          <w:sz w:val="24"/>
          <w:szCs w:val="24"/>
        </w:rPr>
        <w:t>sovereignty to the Community and its organs albeit in limited areas to enable them play their role.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p w:rsidR="0038672D" w:rsidRPr="00530C42" w:rsidRDefault="0038672D" w:rsidP="00386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0C42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EE7594" w:rsidRPr="00530C42" w:rsidRDefault="0038672D" w:rsidP="0038672D">
      <w:pPr>
        <w:rPr>
          <w:sz w:val="24"/>
          <w:szCs w:val="24"/>
        </w:rPr>
      </w:pPr>
      <w:r w:rsidRPr="00530C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not available</w:t>
      </w:r>
    </w:p>
    <w:sectPr w:rsidR="00EE7594" w:rsidRPr="00530C42" w:rsidSect="00724CF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2D"/>
    <w:rsid w:val="00001544"/>
    <w:rsid w:val="00325E20"/>
    <w:rsid w:val="0038672D"/>
    <w:rsid w:val="00530C42"/>
    <w:rsid w:val="006F1E81"/>
    <w:rsid w:val="00724CF1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78332-BC85-4A85-BE3C-8BD33CB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11188</Words>
  <Characters>63772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2018-07-05T09:03:00Z</dcterms:created>
  <dcterms:modified xsi:type="dcterms:W3CDTF">2018-07-09T14:21:00Z</dcterms:modified>
</cp:coreProperties>
</file>