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Arima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Hiral</w:t>
      </w:r>
      <w:proofErr w:type="spellEnd"/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Kampala; Court of Appeal at Kampala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July 1974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653/1973 (33/75); 59/1974 (42/75)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Lubogo</w:t>
      </w:r>
      <w:proofErr w:type="spellEnd"/>
      <w:r>
        <w:rPr>
          <w:rFonts w:ascii="Times New Roman" w:hAnsi="Times New Roman" w:cs="Times New Roman"/>
          <w:color w:val="000000"/>
        </w:rPr>
        <w:t xml:space="preserve"> J, 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Negligence – Petrol tanker – Driven on to soft verge in residential area – Negligence established –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High duty of care on transporters of dangerous substances.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Negligence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Volenti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non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fit injuria – Whether passersby accepted risk of fire by approaching</w:t>
      </w:r>
      <w:r w:rsidR="009B7C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spilling petrol from tanker.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Damages – Causation – Novus actus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interveniens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Deliberate fire-raising – Not foreseeable –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Chain of causation broken.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Nuisance – Constituents of – Act causing injury, danger or annoyance to public or obstruction of</w:t>
      </w:r>
      <w:r w:rsidR="009B7C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common rights – Negligence not required.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plaintiffs sued the defendant in negligence and nuisance for damages suffered by fire.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are set out in the judgment.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plaintiffs, it was contended that the defendant’s driver had been negligent in parking off the</w:t>
      </w:r>
      <w:r w:rsidR="009B7C6E">
        <w:rPr>
          <w:rFonts w:ascii="Times New Roman" w:hAnsi="Times New Roman" w:cs="Times New Roman"/>
          <w:color w:val="000000"/>
        </w:rPr>
        <w:t xml:space="preserve"> r</w:t>
      </w:r>
      <w:r>
        <w:rPr>
          <w:rFonts w:ascii="Times New Roman" w:hAnsi="Times New Roman" w:cs="Times New Roman"/>
          <w:color w:val="000000"/>
        </w:rPr>
        <w:t xml:space="preserve">oad, that the covers of the tanker had not been adequately fastened, that the doctrine of res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>
        <w:rPr>
          <w:rFonts w:ascii="Times New Roman" w:hAnsi="Times New Roman" w:cs="Times New Roman"/>
          <w:color w:val="000000"/>
        </w:rPr>
        <w:t xml:space="preserve"> loquitur</w:t>
      </w:r>
      <w:r w:rsidR="009B7C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and that a nuisance had been created.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defendant, it was contended that the driver had taken proper care, that the plaintiffs were the</w:t>
      </w:r>
      <w:r w:rsidR="009B7C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authors of their own misfortune in approaching a situation of danger, that the chain of causation was</w:t>
      </w:r>
      <w:r w:rsidR="009B7C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broken by the fire having been deliberately started and that there was no nuisance as risk could not have</w:t>
      </w:r>
      <w:r w:rsidR="009B7C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foreseen.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9B7C6E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driver was not negligent in driving the tanker off the road;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fire was caused by the deliberate act of a person for whom the defendant was not responsible;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r w:rsidR="009B7C6E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chain of causation was broken by this independent act;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(iv) </w:t>
      </w:r>
      <w:r w:rsidR="009B7C6E"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plaintiffs were the authors of their own misfortune by deliberately exposing themselves to the</w:t>
      </w:r>
      <w:r w:rsidR="009B7C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danger of fire;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r w:rsidR="009B7C6E">
        <w:rPr>
          <w:rFonts w:ascii="Times New Roman" w:hAnsi="Times New Roman" w:cs="Times New Roman"/>
          <w:color w:val="000000"/>
        </w:rPr>
        <w:t>There</w:t>
      </w:r>
      <w:r>
        <w:rPr>
          <w:rFonts w:ascii="Times New Roman" w:hAnsi="Times New Roman" w:cs="Times New Roman"/>
          <w:color w:val="000000"/>
        </w:rPr>
        <w:t xml:space="preserve"> was no foreseeability of risk and accordingly no nuisance created.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Actions dismissed.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Polemis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Furness Withy</w:t>
      </w:r>
      <w:r>
        <w:rPr>
          <w:rFonts w:ascii="Times New Roman" w:hAnsi="Times New Roman" w:cs="Times New Roman"/>
          <w:color w:val="000000"/>
        </w:rPr>
        <w:t>, [1921] 3 K.B. 560, [1921] All E.R. Rep. 40.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Donoghue v. Stevenson</w:t>
      </w:r>
      <w:r>
        <w:rPr>
          <w:rFonts w:ascii="Times New Roman" w:hAnsi="Times New Roman" w:cs="Times New Roman"/>
          <w:color w:val="000000"/>
        </w:rPr>
        <w:t>, [1932] A.C. 562; [1932] All E.R. Rep. 1.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Haynes v. Harwood</w:t>
      </w:r>
      <w:r>
        <w:rPr>
          <w:rFonts w:ascii="Times New Roman" w:hAnsi="Times New Roman" w:cs="Times New Roman"/>
          <w:color w:val="000000"/>
        </w:rPr>
        <w:t>, [1935] K.B. 146; [1934] All E.R. Rep. 103.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>Lord v. Pacific Steam Navigation Co</w:t>
      </w:r>
      <w:r>
        <w:rPr>
          <w:rFonts w:ascii="Times New Roman" w:hAnsi="Times New Roman" w:cs="Times New Roman"/>
          <w:color w:val="000000"/>
        </w:rPr>
        <w:t>., [1943] p. 32; [1943] 1 All E.R. 211.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 xml:space="preserve">Overseas Tankship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Morts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Dock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The Wagon Mound</w:t>
      </w:r>
      <w:r>
        <w:rPr>
          <w:rFonts w:ascii="Times New Roman" w:hAnsi="Times New Roman" w:cs="Times New Roman"/>
          <w:color w:val="000000"/>
        </w:rPr>
        <w:t>), [1961] A.C. 388; [1961] 1 All E.R. 404.</w:t>
      </w:r>
    </w:p>
    <w:p w:rsidR="0005635D" w:rsidRDefault="009B7C6E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  <w:r w:rsidR="0005635D">
        <w:rPr>
          <w:rFonts w:ascii="Times New Roman" w:hAnsi="Times New Roman" w:cs="Times New Roman"/>
          <w:color w:val="000000"/>
        </w:rPr>
        <w:t xml:space="preserve">(6) </w:t>
      </w:r>
      <w:r w:rsidR="0005635D">
        <w:rPr>
          <w:rFonts w:ascii="Times New Roman" w:hAnsi="Times New Roman" w:cs="Times New Roman"/>
          <w:i/>
          <w:iCs/>
          <w:color w:val="000000"/>
        </w:rPr>
        <w:t xml:space="preserve">Overseas Tankship v. Millers Steamship Co. </w:t>
      </w:r>
      <w:r w:rsidR="0005635D">
        <w:rPr>
          <w:rFonts w:ascii="Times New Roman" w:hAnsi="Times New Roman" w:cs="Times New Roman"/>
          <w:color w:val="000000"/>
        </w:rPr>
        <w:t>(</w:t>
      </w:r>
      <w:r w:rsidR="0005635D">
        <w:rPr>
          <w:rFonts w:ascii="Times New Roman" w:hAnsi="Times New Roman" w:cs="Times New Roman"/>
          <w:i/>
          <w:iCs/>
          <w:color w:val="000000"/>
        </w:rPr>
        <w:t xml:space="preserve">The Wagon Mound </w:t>
      </w:r>
      <w:r w:rsidR="0005635D">
        <w:rPr>
          <w:rFonts w:ascii="Times New Roman" w:hAnsi="Times New Roman" w:cs="Times New Roman"/>
          <w:color w:val="000000"/>
        </w:rPr>
        <w:t>(</w:t>
      </w:r>
      <w:r w:rsidR="0005635D">
        <w:rPr>
          <w:rFonts w:ascii="Times New Roman" w:hAnsi="Times New Roman" w:cs="Times New Roman"/>
          <w:i/>
          <w:iCs/>
          <w:color w:val="000000"/>
        </w:rPr>
        <w:t>No. 2</w:t>
      </w:r>
      <w:r w:rsidR="0005635D">
        <w:rPr>
          <w:rFonts w:ascii="Times New Roman" w:hAnsi="Times New Roman" w:cs="Times New Roman"/>
          <w:color w:val="000000"/>
        </w:rPr>
        <w:t>)), [1967] A.C. 617; [1966] 2</w:t>
      </w:r>
    </w:p>
    <w:p w:rsidR="0005635D" w:rsidRDefault="0005635D" w:rsidP="00056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E.R. 709.</w:t>
      </w:r>
    </w:p>
    <w:p w:rsidR="00E43AAB" w:rsidRDefault="0005635D" w:rsidP="0005635D">
      <w:r>
        <w:rPr>
          <w:rFonts w:ascii="Times New Roman" w:hAnsi="Times New Roman" w:cs="Times New Roman"/>
          <w:color w:val="000000"/>
        </w:rPr>
        <w:t xml:space="preserve">(7) </w:t>
      </w:r>
      <w:r>
        <w:rPr>
          <w:rFonts w:ascii="Times New Roman" w:hAnsi="Times New Roman" w:cs="Times New Roman"/>
          <w:i/>
          <w:iCs/>
          <w:color w:val="000000"/>
        </w:rPr>
        <w:t>Home Office v. Dorset Yacht Co</w:t>
      </w:r>
      <w:r>
        <w:rPr>
          <w:rFonts w:ascii="Times New Roman" w:hAnsi="Times New Roman" w:cs="Times New Roman"/>
          <w:color w:val="000000"/>
        </w:rPr>
        <w:t>., [1970] A.C. 1004; [1970] 2 All E.R. 294.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5D"/>
    <w:rsid w:val="0005635D"/>
    <w:rsid w:val="009B7C6E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F78D3-768D-4F13-B666-A17405E4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2018-07-06T13:06:00Z</dcterms:created>
  <dcterms:modified xsi:type="dcterms:W3CDTF">2018-07-09T18:03:00Z</dcterms:modified>
</cp:coreProperties>
</file>