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9EC" w:rsidRPr="00F47796" w:rsidRDefault="00F47796" w:rsidP="001466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F47796">
        <w:rPr>
          <w:rFonts w:ascii="Times New Roman" w:hAnsi="Times New Roman" w:cs="Times New Roman"/>
          <w:b/>
          <w:bCs/>
          <w:color w:val="000080"/>
          <w:sz w:val="24"/>
          <w:szCs w:val="24"/>
        </w:rPr>
        <w:t>ARIMA AND OTHERS V HIRAL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Division: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High Court of Uganda at Kampala; Court of Appeal at Kampala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of judgment: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19 July 1974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Case Number: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653/1973 (33/75); 59/1974 (42/75)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Before: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Lubogo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J, Spry Ag P, Law Ag V-P and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Musoke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JA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Sourced by: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LawAfrica</w:t>
      </w:r>
      <w:proofErr w:type="spellEnd"/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[1] Negligence – Petrol tanker – Driven on to soft verge in residential area – Negligence established –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High duty of care on transporters of dangerous substances.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[2] Negligence – </w:t>
      </w:r>
      <w:proofErr w:type="spellStart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Volenti</w:t>
      </w:r>
      <w:proofErr w:type="spellEnd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non</w:t>
      </w:r>
      <w:proofErr w:type="gramEnd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fit injuria – Whether passersby accepted risk of fire by approaching</w:t>
      </w:r>
      <w:r w:rsidR="00E17681"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spilling petrol from tanker.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[3] Damages – Causation – Novus actus </w:t>
      </w:r>
      <w:proofErr w:type="spellStart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interveniens</w:t>
      </w:r>
      <w:proofErr w:type="spellEnd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 Deliberate fire-raising – Not foreseeable –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Chain of causation broken.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[4] Nuisance – Constituents of – Act causing injury, danger or annoyance to public or obstruction of</w:t>
      </w:r>
      <w:r w:rsidR="00E17681"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common rights – Negligence not required.</w:t>
      </w:r>
    </w:p>
    <w:p w:rsidR="000439EC" w:rsidRPr="00F47796" w:rsidRDefault="00E17681" w:rsidP="001466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F477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JUDGMENT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477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Lubogo</w:t>
      </w:r>
      <w:proofErr w:type="spellEnd"/>
      <w:r w:rsidRPr="00F477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J: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On 12 January 1973, the driver of a seven-ton Isuzu Petrol Tanker was instructed by his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master,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Hiral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Mohamed, the defendant, to go to Shell B.P. depot in the industrial area of Kampala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following day to fill the tanker with super petrol, hereinafter referred to as petrol. The petrol was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destined for Ruanda.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On 13 January 1973, at about 8 a.m., the driver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Lajabu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Sebale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arrived at the B.P. depot and petrol was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filled in the tanker in his presence. It was filled to its full capacity of 7,800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litres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through three openings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at the top. The three top openings were then closed and sealed and so were the lower outlets. The driver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then drove his petrol tanker, after receiving necessary documents, towards the city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centre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>. He passed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through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Nakivubo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into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Namirembe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Road. When he reached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Nakovubo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Stadium, he branched off into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Kisenyi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Road. At about 100 yards along the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Kisenyi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Road off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Namirembe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Road, he stopped and parked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his tanker on the offside of the road off the tarmac in order to get his provisions from the maize mill,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namely rice flour, for the journey to Ruanda. He found rice flour already packed, collected it and went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back to the petrol tanker. It was estimated that it took him only three minutes. He started the engine and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moved forward, but he had hardly moved more than a foot when he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realised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that the left rear near side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wheel had fallen into a ditch. He got out of the tanker and noticed that the left rear wheel was sinking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gradually into the ditch and the tanker was tilting on the left hand side. He then tried to get help from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driver of another lorry nearby to pull him out of the ditch. The driver of the other lorry refused. Despite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entreaties from the driver of the tanker lasting about ten minutes, the other driver was unable to accede to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his request. He went back to the tanker and found that petrol had started to pass through the third rear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opening on the top of the tanker and people were helping themselves to it by filling up their containers.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He hired a taxi to take him to the nearest post office to telephone the fire brigade. The time was about</w:t>
      </w:r>
      <w:r w:rsid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11.30 a.m. He went back to the scene to wait for the firemen. The fire brigade arrived at about 11.35 a.m.</w:t>
      </w:r>
      <w:r w:rsid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The driver introduced himself to the chief fire officer. There was a short discussion in which it </w:t>
      </w:r>
      <w:r w:rsidR="001466DC" w:rsidRPr="00F47796">
        <w:rPr>
          <w:rFonts w:ascii="Times New Roman" w:hAnsi="Times New Roman" w:cs="Times New Roman"/>
          <w:color w:val="000000"/>
          <w:sz w:val="24"/>
          <w:szCs w:val="24"/>
        </w:rPr>
        <w:t>was</w:t>
      </w:r>
      <w:r w:rsidR="001466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66DC" w:rsidRPr="00F47796">
        <w:rPr>
          <w:rFonts w:ascii="Times New Roman" w:hAnsi="Times New Roman" w:cs="Times New Roman"/>
          <w:color w:val="000000"/>
          <w:sz w:val="24"/>
          <w:szCs w:val="24"/>
        </w:rPr>
        <w:t>suggested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that a breakdown truck should be brought in order to pull the tanker out of the ditch and stop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further leakage. At this stage the crowd was swelling and the chief fire officer and his men were trying to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control the crowd by driving them away from the tanker. As the driver was coming back to the scene with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 breakdown truck, he noticed at a distance away that the place was in flames. It was about 12.15 p.m.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when the fire started. The chief fire officer and one fireman remained to brave the inferno while others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ran away. Later the chief fire officer received reinforcement from the fire station. The fire was eventually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brought under control at about 5.30 p.m. By the time this was done, the fire had taken a heavy toll of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crowd, which was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lastRenderedPageBreak/>
        <w:t>estimated between one thousand and two thousand. Ten people were burnt to death on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the spot and seventeen people died later in the hospital, and many received injuries varying in degree of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severity.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It is due to these deaths and injuries that the plaintiffs have brought actions against the owner of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petrol tanker for damages for negligence and nuisance in the alternative. Three different suits were filed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and consolidated and have been heard as one.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What was referred to as a “ditch” was, in fact, a hole of three feet in diameter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which had been dug off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Kisenyi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Road in order to get to an underground water pipe – a sort of hydrant –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this hole was later filled with loose earth to the top. That was the condition in which it was immediately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before the petrol tanker was parked over it.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[The judge set out the evidence in detail and continued.]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This now brings me to the issues to be decided they are as follows:</w:t>
      </w:r>
    </w:p>
    <w:p w:rsidR="00E17681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(1) Whether or not the defendant’s driver committed an act or omission amounting to negligence and if so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which act or acts.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(2) If the answer in first issue is in the affirmative, whether the plaintiffs,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Matia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Mulondo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deceased,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suffered any damages and if so were such damages foreseeable.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(3) If the answer to first and second issues is in the affirmative, whether or not a third party act intervening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leading to the injuries of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Matia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Mulondo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deceased or whether or not any of the plaintiffs assumed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risk of injuries. If a third party intervened, did it break the chain of causation?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(4) Whether or not any of the plaintiffs,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Matia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Mulondo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deceased, contributed to the damage sustained.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(5) Whether or not there was a nuisance and if so was it caused by the defendant’s driver.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(6) If the answer to issue 5 is in the affirmative were the injuries foreseeable?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(7) What damages if any have the plaintiffs and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Matia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Mulondo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suffered?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The plaint avers in respect of all plaintiffs that: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“The driver of the defendant, acting in course of his employment, so carelessly and negligently, drove and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controlled the said vehicle on which were tanks containing petrol fuel the property of the defendant along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Kisenyi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Road that an accident occurred.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By reason of the carelessness or negligence as aforesaid of the defendant’s servant/driver, the said petrol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tanks on the said vehicle got tilted and a large quantity of petrol fuel oozed and overflowed from the said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tanks on to the ground. Thereafter much of the petrol spread on the ground, caught fire and the fire rapidly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spread and caused damage to the plaintiffs.”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The plaints then went on to give the particulars of negligence. The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defence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denied liability and relied on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the maxim of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novus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actus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interveniens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and the doctrine of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volenti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non fit injuria.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In their submissions, several cases were cited by both counsel in an attempt to prove their cases.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These authorities are very difficult to reconcile given a particular set of facts. At one time the principle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laid down in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 </w:t>
      </w:r>
      <w:proofErr w:type="spellStart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Polemis</w:t>
      </w:r>
      <w:proofErr w:type="spellEnd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Furness, Withy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, [1921] 3 K.B. 560 that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unforeseeability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was no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defence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no longer good law and it is not my intention to consider it. The expression negligence brings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immediately to mind a sense of duty for which the negligent acts or omissions may cause to another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person. This means that one should not act negligently in order to avoid harming another person who is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likely to be affected by his acts or omissions. The law on this point is very clear and it is to be found in</w:t>
      </w:r>
      <w:r w:rsid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Donoghue v. Stevenson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, [1932] A.C. 562. Lord Atkin, when answering a question, in the above case,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“who is my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neighbour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>?” said that you must take reasonable care to avoid acts or omissions which you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can reasonably foresee would be likely to injure your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neighbour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. Who, then, in law, is my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neighbour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Lord Atkin went on to say that those persons who are so closely and directly affected by my act that I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ought reasonably to have them in contemplation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as being so affected when I am directing my mind to the acts or omissions which are called in question.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In this authority the principle of foreseeability and proximity is evident.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Donoghue v. Stevenson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was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approved in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Overseas Tankship etc. v. </w:t>
      </w:r>
      <w:proofErr w:type="spellStart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Morts</w:t>
      </w:r>
      <w:proofErr w:type="spellEnd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Dock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Wagon Mound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), [1961] 1 All E.R.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lastRenderedPageBreak/>
        <w:t>404 popularly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known as Wagon Mound No. 1. In their conclusion in the above case their Lordships had been concerned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primarily to displace the proposition that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unforeseeability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is irrelevant if damage is “direct”. In doing so,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they had inevitably insisted that the essential factor in determining liability is whether the damage is of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such a kind as the reasonable man should have foreseen. This accords with the general view thus stated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by Lord Atkin in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Donoghue v. Stevenson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. Again in a recent case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Home Office v. Dorset Yacht Co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., [1970]</w:t>
      </w:r>
      <w:r w:rsid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2 All E.R. 294 at p. 297, Lord Reid said that: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Donoghue v. Stevenson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may be regarded as a milestone, and the well-known passage in Lord Atkin’s speech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should I think be regarded as a statement of principle. It is not to be treated as if it were a statutory definition.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It will require qualification in new circumstances.”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It is upon this principle that I shall consider the facts in this present case. The evidence in this case has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been already reviewed; I shall only refer to parts of it. The driver of the petrol tanker parked his vehicle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at a place which was normally safe and where many vehicles had been parked. In this regard, I accept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evidence of Moses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Lutagasa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and Jackson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Mugumya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that the place was perfectly safe for parking, as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people who came to watch football matches used to park there; and I accept their evidence, and that of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Nyonjo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, that there was no warning posted on a newly-dug hole. I do not accept the evidence of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Odong</w:t>
      </w:r>
      <w:proofErr w:type="spellEnd"/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that there was a T-shaped sign. If this were so, other witnesses like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Maswera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Druvu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Nyonjo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>, would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have seen it, let alone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Lutagasa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Mugumya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who were working in a garage about 25 yards away.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petrol tanker was parked there for only about 3 minutes over a ground which appeared to be safe despite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pools of water here and there. The crucial moment came when the driver started off. He had hardly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moved when he felt that he could not move any farther. The nearside rear wheel had stuck in what was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termed as ditch. An attempt to remove the tanker from the ditch came to no avail. The fire brigade was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called in and found that petrol had started to flow in big quantity. This flow went on for about 45 minutes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until eventually petrol ignited. The cause of fire could not have possibly originated in Bemba’s garage.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According to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Lutagasa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Mugumya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>, they had removed their welding equipment even before the fire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brigade arrived. I seem to accept this testimony because I cannot imagine them carrying on welding and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at the same time washing their tools in petrol which they had collected. I do not believe the evidence of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Odong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on this point.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Mubiru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was uncertain where the fire came from. The fire, then, must have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originated from another source.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Maswera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>, the chief fire officer, said that he saw a man striking a match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because he was 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>refused permission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to collect petrol. This was the man who had been pushed 70 feet away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Druvu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on the instructions of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Maswera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Druvu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in his evidence said that the fire came from behind him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as he was going back. It can therefore be said with certainty that the fire did not originate from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garages that had welding equipment. I do not doubt the testimony of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Maswera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on this point. In his report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>the commissioner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of Police made on 22 January 1973 he said that “at about 12.15 somebody was seen,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lit a match just 70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metres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from the wreckage on the spilt petrol”. This being so, the act was a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novus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actus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interveniens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>. This, however, does not mean that the defendant is absolved from acts of negligence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perpetrated by his servant.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Lord Wright in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Lord v. Pacific Steam Navigation Co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., [1943] 1 All E.R. 211 at p. 214 had this to say: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i/>
          <w:color w:val="000000"/>
          <w:sz w:val="24"/>
          <w:szCs w:val="24"/>
        </w:rPr>
        <w:t>“There are some propositions that I think are well-established and beyond</w:t>
      </w:r>
      <w:r w:rsidR="00E17681" w:rsidRPr="00F4779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i/>
          <w:color w:val="000000"/>
          <w:sz w:val="24"/>
          <w:szCs w:val="24"/>
        </w:rPr>
        <w:t>question in connection with this class of cases. One is that human action does not per se sever the connected</w:t>
      </w:r>
      <w:r w:rsidR="00E17681" w:rsidRPr="00F4779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i/>
          <w:color w:val="000000"/>
          <w:sz w:val="24"/>
          <w:szCs w:val="24"/>
        </w:rPr>
        <w:t>sequence of acts. The mere fact that human action intervenes does not prevent the sufferers from saying that</w:t>
      </w:r>
      <w:r w:rsidR="00E17681" w:rsidRPr="00F4779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i/>
          <w:color w:val="000000"/>
          <w:sz w:val="24"/>
          <w:szCs w:val="24"/>
        </w:rPr>
        <w:t>damages for injury due to that human action, as one of the elements in the sequence, is recoverable from the</w:t>
      </w:r>
      <w:r w:rsidR="00E17681" w:rsidRPr="00F4779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i/>
          <w:color w:val="000000"/>
          <w:sz w:val="24"/>
          <w:szCs w:val="24"/>
        </w:rPr>
        <w:t>original wrongdoer.”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Again in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Haynes v. Harwood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, [1935] 1 K.B. 146 it was said that if what is relied upon as a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novus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actus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interveniens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is the very kind of thing which is likely to happen if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want of care which is alleged takes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place, the principle embodied in the maxim is no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defence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. It appears therefore, that the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novus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actus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interveniens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does not break the chain of causation if the connecting link is a human action as opposed to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inanimate. It must be added that the human connecting link must stem from the want of care of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original wrongdoer and must be the probable consequence of the wrongdoing.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In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Wagon Mound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, referred to above, in that case a vessel known as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Wagon Mound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, an oil-burning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vessel, was moored in Caltex Wharf for the purpose of discharging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gasolene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products and taking in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bunkering oil. During this operation a large quantity of bunkering oil, through the carelessness of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appellant’s servants, was allowed to spill into the bay. The respondent’s engineer asked the appellant’s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engineer whether it was safe to continue welding operation on their ship. It was agreed that it was quite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safe so to continue. However, safety precautions were taken to prevent inflammable material falling off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the wharf into the oil. For a day and half, work was carried on as usual, but later oil near the wharf was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ignited and fire broke out. It was speculated that a piece of debris on which lay some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smouldering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cotton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waste or rag which had been set on fire by molten metal falling from the wharf caused the fire.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appellants were not held liable in negligence. This was due to the fact that the occurrence was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unforeseeable simply because although it was a human action that intervened, it was not the natural and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probable consequence of the oil spreading in the bay by the carelessness of the appellant’s servants.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In the present case certain particulars of negligence on the part of the driver have been alleged in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plaint, but no evidence was led to substantiate the allegation. There was only one witness who actually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saw the petrol tanker being driven and that was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Nyonjo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. In his evidence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Nyonjo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did not say that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vehicle was being driven in a careless manner.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Nyonjo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again saw the vehicle start off, but as it did, its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rear wheel got stuck in the ditch. I fail to see any carelessness on the part of the driver. It has been argued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on behalf of the plaintiffs that the driver was careless in parking in an area where welding was being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carried on and a lot of activities going on. I would say that fire did not come about because of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welding that was being carried on but came from a different source. Had the tanker caught fire from a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welding source, then the case should have assumed a different and ugly complexion. For 45 minutes,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petrol was flowing till somebody struck a match. The driver did not know and could not have been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reasonably expected to know that somebody would strike a match and set the whole place on fire. When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the driver parked his vehicle, he did not know that he was parking on ground with latent defect so as to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impute negligence for which the defendant should be liable. Nor could he be expected to know that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pressure of petrol would be exerted on the outlets to cause a leak; nor that once petrol leaked people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would come to collect it; nor 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>would that somebody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be annoyed and strike a match because he had been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prevented from collecting it. In my opinion the driver could not have been reasonably expected to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anticipate all this, and it could not have been the natural and probable consequence of his falling in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ditch which was not negligent, but it was an extraordinary and unforeseeable combination of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circumstances. I would therefore venture to say that there is no negligence or carelessness on the part of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the defendant enunciated by Lord Atkin in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Donoghue v. Stevenson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.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word “foresight” connotes experience and knowledge. No one can reasonably be expected to foresee or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anticipate that which he has no knowledge or experience of. Had the driver known of a ditch that had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been dug around the place where he parked his vehicle, then he could be expected to know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consequences of his act and take precautions but there was no evidence led to that effect. Now I turn my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attention to the plaintiffs. It is unfortunate that they suffered such severe injuries. They were the authors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of their injuries by exposing themselves to a fiery danger for which nobody owed them a duty.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Matia</w:t>
      </w:r>
      <w:proofErr w:type="spellEnd"/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Mulondo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deceased was burnt to death, so it was alleged. The only evidence is a chit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authorising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 relative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to collect the body from the mortuary. According to evidence,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Mulondo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had a stall in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Shauri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Yako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market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about 500 yards from the scene of the inferno. It is not known why he left his place of work to come to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Nakivubo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, if he ever came at all. There is no evidence to show that he died in the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Nakivubo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fire.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Then there is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Arima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Nantongo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gonja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seller. She was nowhere near the fire. According to her, she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was walking along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Kisenyi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road coming towards the petrol tanker, then saw a crowd running towards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her. She was knocked down and in the process her dress caught fire. It was at a distance of 250 yards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from the tanker. She ran into the stadium where she received help and was later taken to hospital. George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Kigundu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is another plaintiff. I did not accept his evidence. He was evasive in his answers. He denied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having seen a crowd at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Nakivubo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and said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lastRenderedPageBreak/>
        <w:t>everything was quite normal. This man was seen by Moses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Lutagasa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collecting petrol together with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Badru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Mande. I believe that he was among the people who were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being chased away by the fire brigade.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Fred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Senkima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was also evasive in his answers and gave me the impression that he was lying and I do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not accept his evidence.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Badru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Mande is the man who answers the description of a person who had been seen by Moses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Lutagasa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and Jackson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Mugumya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collecting petrol. He is the man who was pushed away from the tanker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Dravu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and he is the man whom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Maswera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saw striking a match. I believe the evidence of those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witnesses.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Godfrey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Serunjogi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, a youth who was with his mother in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Namirembe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Road, said he was burnt while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crossing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Kisenyi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Road. From evidence, the fire did not reach the junction of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Namirembe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Road with</w:t>
      </w:r>
      <w:r w:rsid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Kisenyi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Road.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Serunjogi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denied having seen a crowd in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Kisenyi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Road. His evidence was most unreliable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and could not be believed.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Tereza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Naiga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received her injuries when she went to help her son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Serunjogi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 distance away from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scene of the fire. She was burnt slightly by fire from her son’s clothes.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Apart from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Nantongo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who caught fire in a distance of about 250 yards away and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Tereza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Naija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who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also caught fire from her son, I believe that the rest were involved in collecting petrol and that’s how they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came to their fate.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The plaintiff’s counsel submitted that the doctrine of res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ipsa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loquitur applied to the instant case. For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obvious reasons I disagree with this submission. The argument was advanced that because the covers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were not properly fixed, negligence should be presumed. Evidence was given as to what happened at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petrol depot. Petrol was filled in the tank to a point to the brim leaving a space for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vapour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>, then the lid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was placed on the opening and eventually sealed. There was evidence by Dr.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Kironde-Sali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Maswera</w:t>
      </w:r>
      <w:proofErr w:type="spellEnd"/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that the lid gave way because of the pressure of petrol on it. This evidence was not gainsaid.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photographs give a general view of the tanker and how the lids could be fastened. For these reasons I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dismiss the argument that the doctrine of res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ipsa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loquitur applies.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I therefore make the following findings in as far as the actions are laid in negligence:</w:t>
      </w:r>
    </w:p>
    <w:p w:rsidR="000439EC" w:rsidRPr="00F47796" w:rsidRDefault="00E17681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39EC" w:rsidRPr="00F47796">
        <w:rPr>
          <w:rFonts w:ascii="Times New Roman" w:hAnsi="Times New Roman" w:cs="Times New Roman"/>
          <w:color w:val="000000"/>
          <w:sz w:val="24"/>
          <w:szCs w:val="24"/>
        </w:rPr>
        <w:t>(1) The defendant’s driver did not commit any acts or omissions of negligence.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(2) The damages were not foreseeable because: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fact that petrol escaped and flowed on the ground, the ignition of it could not be reasonably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expected to be the natural and probable consequence.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proofErr w:type="gram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striking of the match was an independent act of volition so as to interrupt the chain of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causality.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proofErr w:type="gram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doctrine of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volenti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non fit injuria applies to the plaintiffs.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proofErr w:type="gram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>There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was no spark caused by a scratch on the tarmac surface nor was there a short circuit in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the electrical system of the vehicle due to the negligence of the driver.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(3) The plaintiffs were the authors of their own injuries.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Now I come to actions as laid in nuisance. It has been submitted by counsel for the plaintiffs that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negligence is not an element of nuisance and that once the plaintiff shows that he has suffered special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damage as against the public he is entitled to sue, and that nuisance must be of a criminal nature affecting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the public generally and that since the defendant’s driver violated the provisions of the penal code and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those of the Traffic and Road Safety Act, the defendant must be liable. I must admit that the law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regarding nuisance is not clear to me but one thing I agree with counsel for the plaintiffs is that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negligence is not an element in proving nuisance. Most authorities before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Wagon Mound No. 2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seemed to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agree that foreseeability was an essential element in nuisance, but foreseeability was also regarded as an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essential element in negligence in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Wagon Mound No. 1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. In the unreported case of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Morton v. Wheeler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Lord Denning said: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“But how are we to determine whether a state of affairs in or near a highway is in danger? This depends, I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think, on whether injury may reasonably be foreseen. If you take all cases in the books you will find that if the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state of affairs is such that injury may reasonably be anticipated to persons using the highway it is a public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nuisance.”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Lord Denning’s dictum was made in 1956 before the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Wagon Mound No. 2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, [1966] 2 All E.R. 709. Since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Wagon Mound No. 2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, things seem to have changed. Fault seems to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lastRenderedPageBreak/>
        <w:t>be an essential element in deciding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whether nuisance has been committed. The facts in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Wagon Mound No. 1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Wagon Mound No. 2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="00E17681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essentially the same except that one dealt with nuisance and the other with negligence. The facts that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brought about the nuisance have already been reviewed above and I need not review it again. One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significant fact was that nuisance flowed from the carelessness of the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Wagon Mound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engineer in not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stopping the flow of bunkering oil into the bay when in fact he was in position to do it and knew that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there was a possibility of its catching fire. From this one may infer a conscious human act on the part of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the wrongdoer.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I have already made a finding that the defendant’s driver was not careless in parking his vehicle in a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place he did, but it has been argued by the plaintiff’s counsel that the driver contravened the traffic laws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in doing so. The Assistant Inspector of Police Joseph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Kiza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measured the road in question and it was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found that it was 15 feet 9 inches. The petrol tanker was parked 5 feet 3? </w:t>
      </w:r>
      <w:proofErr w:type="gram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inches</w:t>
      </w:r>
      <w:proofErr w:type="gram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from the edge of the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road. He admitted in cross-examination that once a person parks off the road he does not contravene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traffic laws in spite of “No parking” or “No stopping” signs. I am therefore satisfied that the defendant’s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driver did not contravene any penal or traffic laws of the country.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If I may cite again </w:t>
      </w: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Wagon Mound No. 2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, their lordships were of the opinion that: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“if the risk is one which would occur to the mind of a reasonable man in the position of the defendant’s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servant and which he would not brush aside as 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>farfetched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, and if the criterion is to be what the reasonable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man would have done in the 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ircumstances, then surely he would not neglect such a risk if action to eliminate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it presented no difficulty, involved no disadvantage and required no expense.”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It is my opinion that no risk was involved when the 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>defendant’s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driver parked his vehicle in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Kisenyi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road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for which he would take steps to eliminate it. But when the risk became apparent he took all reasonable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steps to eliminate it as we have seen in evidence.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I would therefore conclude by saying that there was no nuisance committed by defendant’s driver and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consequently no damages suffered by the plaintiffs and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Matia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7796">
        <w:rPr>
          <w:rFonts w:ascii="Times New Roman" w:hAnsi="Times New Roman" w:cs="Times New Roman"/>
          <w:color w:val="000000"/>
          <w:sz w:val="24"/>
          <w:szCs w:val="24"/>
        </w:rPr>
        <w:t>Mulondo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>. The suits are accordingly</w:t>
      </w:r>
      <w:r w:rsidR="00F47796"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>dismissed with costs.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For the plaintiffs:</w:t>
      </w:r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J </w:t>
      </w:r>
      <w:proofErr w:type="spellStart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Kityo</w:t>
      </w:r>
      <w:proofErr w:type="spellEnd"/>
    </w:p>
    <w:p w:rsidR="000439EC" w:rsidRPr="00F47796" w:rsidRDefault="000439EC" w:rsidP="00F47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96">
        <w:rPr>
          <w:rFonts w:ascii="Times New Roman" w:hAnsi="Times New Roman" w:cs="Times New Roman"/>
          <w:color w:val="000000"/>
          <w:sz w:val="24"/>
          <w:szCs w:val="24"/>
        </w:rPr>
        <w:t>For the defendant:</w:t>
      </w:r>
    </w:p>
    <w:p w:rsidR="00E43AAB" w:rsidRPr="00F47796" w:rsidRDefault="000439EC" w:rsidP="00F47796">
      <w:pPr>
        <w:jc w:val="both"/>
        <w:rPr>
          <w:sz w:val="24"/>
          <w:szCs w:val="24"/>
        </w:rPr>
      </w:pPr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 </w:t>
      </w:r>
      <w:proofErr w:type="spellStart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Gaffa</w:t>
      </w:r>
      <w:proofErr w:type="spellEnd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47796">
        <w:rPr>
          <w:rFonts w:ascii="Times New Roman" w:hAnsi="Times New Roman" w:cs="Times New Roman"/>
          <w:color w:val="000000"/>
          <w:sz w:val="24"/>
          <w:szCs w:val="24"/>
        </w:rPr>
        <w:t xml:space="preserve">(instructed by </w:t>
      </w:r>
      <w:proofErr w:type="spellStart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Kirenga</w:t>
      </w:r>
      <w:proofErr w:type="spellEnd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&amp; </w:t>
      </w:r>
      <w:proofErr w:type="spellStart"/>
      <w:r w:rsidRPr="00F477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Gaffa</w:t>
      </w:r>
      <w:proofErr w:type="spellEnd"/>
      <w:r w:rsidRPr="00F47796">
        <w:rPr>
          <w:rFonts w:ascii="Times New Roman" w:hAnsi="Times New Roman" w:cs="Times New Roman"/>
          <w:color w:val="000000"/>
          <w:sz w:val="24"/>
          <w:szCs w:val="24"/>
        </w:rPr>
        <w:t>, Kampala)</w:t>
      </w:r>
    </w:p>
    <w:sectPr w:rsidR="00E43AAB" w:rsidRPr="00F47796" w:rsidSect="00F47796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EC"/>
    <w:rsid w:val="000439EC"/>
    <w:rsid w:val="001466DC"/>
    <w:rsid w:val="00E17681"/>
    <w:rsid w:val="00E43AAB"/>
    <w:rsid w:val="00F4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37D21-7C6C-4022-A154-1C9D57CE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3627</Words>
  <Characters>20677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2018-07-06T13:07:00Z</dcterms:created>
  <dcterms:modified xsi:type="dcterms:W3CDTF">2018-07-09T18:18:00Z</dcterms:modified>
</cp:coreProperties>
</file>