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A63" w:rsidRDefault="00924F0E" w:rsidP="00E74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asea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brown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boveri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bawazir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glass works ltd and another</w:t>
      </w:r>
    </w:p>
    <w:p w:rsid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7 April 2005</w:t>
      </w:r>
    </w:p>
    <w:p w:rsid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1619/00</w:t>
      </w:r>
    </w:p>
    <w:p w:rsid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Emukule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Advocate – Remuneration – Attendance fees in the High Court – Higher and lower scale – Principle</w:t>
      </w:r>
      <w:r w:rsidR="00924F0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regarding the scale upon which costs shall be taxed.</w:t>
      </w:r>
    </w:p>
    <w:p w:rsid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Advocate – Remuneration – Instructions and getting-up fees – Whether they could be chargeable</w:t>
      </w:r>
      <w:r w:rsidR="00924F0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more than once – Whether the time lapse between one hearing and another may justify an increase in</w:t>
      </w:r>
      <w:r w:rsidR="00924F0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instruction fee – Schedule VI – Advocate’s Remuneration Order.</w:t>
      </w:r>
    </w:p>
    <w:p w:rsidR="00E74A63" w:rsidRDefault="00924F0E" w:rsidP="00E74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E74A63">
        <w:rPr>
          <w:rFonts w:ascii="Times New Roman" w:hAnsi="Times New Roman" w:cs="Times New Roman"/>
          <w:i/>
          <w:iCs/>
          <w:color w:val="000000"/>
        </w:rPr>
        <w:t>[3] Advocate – Remuneration – Taxation reference – Principles governing taxation of costs and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E74A63">
        <w:rPr>
          <w:rFonts w:ascii="Times New Roman" w:hAnsi="Times New Roman" w:cs="Times New Roman"/>
          <w:i/>
          <w:iCs/>
          <w:color w:val="000000"/>
        </w:rPr>
        <w:t>reference to the High Court from the taxing officer’s decision.</w:t>
      </w:r>
    </w:p>
    <w:p w:rsidR="00E74A63" w:rsidRDefault="00E74A63" w:rsidP="00E74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Words and Phrases – “Hearing” – “Trial” – Though there may be several days of hearing there is</w:t>
      </w:r>
      <w:r w:rsidR="00924F0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but one trial commencing from the first date of hearing.</w:t>
      </w:r>
    </w:p>
    <w:p w:rsidR="00E74A63" w:rsidRDefault="00924F0E" w:rsidP="00E74A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E74A63" w:rsidRDefault="00E74A63" w:rsidP="00924F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lodged a taxation reference objecting to the reduction of its bill of costs. The applicant</w:t>
      </w:r>
    </w:p>
    <w:p w:rsidR="00E74A63" w:rsidRDefault="00E74A63" w:rsidP="00924F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contended that it was entitled to charge twice for getting-up fees because the hearing was adjourned and</w:t>
      </w:r>
      <w:r w:rsidR="00924F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proceed on the first day it came up for hearing, and there was a long time interval between the</w:t>
      </w:r>
      <w:r w:rsidR="00924F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and next hearing date, thus necessitating fresh preparation for trial. Further, the applicant argued that</w:t>
      </w:r>
      <w:r w:rsidR="00924F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attendance fees should have been allowed on the higher scale as the matter had been defended.</w:t>
      </w:r>
    </w:p>
    <w:p w:rsidR="00E74A63" w:rsidRDefault="00E74A63" w:rsidP="00924F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objected to an increase in the bill. It contended that instructions and getting-up fees</w:t>
      </w:r>
      <w:r w:rsidR="00924F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awardable only once in the trial, and that a further increase of instructions fees on account of</w:t>
      </w:r>
      <w:r w:rsidR="00924F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subsequent hearings may be allowed but only upon an order of the trial Judge following an application to</w:t>
      </w:r>
      <w:r w:rsidR="00924F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effect. It was also contended that attendance fees were to be granted on the lower scale unless there</w:t>
      </w:r>
      <w:r w:rsidR="00924F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special order of the trial Court.</w:t>
      </w:r>
    </w:p>
    <w:p w:rsidR="00E74A63" w:rsidRDefault="00E74A63" w:rsidP="00924F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 taxation reference would be entertained either on a point of law or on the ground that the bill as</w:t>
      </w:r>
      <w:r w:rsidR="00924F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taxed was manifestly excessive or inadequate. The instructions fee should cover the advocate’s work, the</w:t>
      </w:r>
      <w:r w:rsidR="00924F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taxing master should tax each bill on its merits, the taxing officer should exercise his discretion</w:t>
      </w:r>
      <w:r w:rsidR="00924F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judiciously and in accordance with the applicable Schedule, and the taxing officer should also consider</w:t>
      </w:r>
      <w:r w:rsidR="00924F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public policy.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Kassim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Habre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International Ltd </w:t>
      </w:r>
      <w:r>
        <w:rPr>
          <w:rFonts w:ascii="Times New Roman" w:hAnsi="Times New Roman" w:cs="Times New Roman"/>
          <w:color w:val="000000"/>
        </w:rPr>
        <w:t>[2001] 1 EA 98 adopted.</w:t>
      </w:r>
      <w:r w:rsidR="00924F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Instructions fees are </w:t>
      </w:r>
      <w:r w:rsidR="00924F0E">
        <w:rPr>
          <w:rFonts w:ascii="Times New Roman" w:hAnsi="Times New Roman" w:cs="Times New Roman"/>
          <w:color w:val="000000"/>
        </w:rPr>
        <w:t>static that</w:t>
      </w:r>
      <w:r>
        <w:rPr>
          <w:rFonts w:ascii="Times New Roman" w:hAnsi="Times New Roman" w:cs="Times New Roman"/>
          <w:color w:val="000000"/>
        </w:rPr>
        <w:t xml:space="preserve"> is chargeable only once. In view of this, it is difficult to accept the</w:t>
      </w:r>
      <w:r w:rsidR="00924F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argument that the getting-up fee, which is based on the instruction fee, is somewhat elastic and is</w:t>
      </w:r>
      <w:r w:rsidR="00924F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chargeable on every day to which the case is adjourned, more so if there is a long period between two</w:t>
      </w:r>
      <w:r w:rsidR="00924F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hearing dates. There is neither such rule in law or principle. </w:t>
      </w:r>
      <w:r>
        <w:rPr>
          <w:rFonts w:ascii="Times New Roman" w:hAnsi="Times New Roman" w:cs="Times New Roman"/>
          <w:i/>
          <w:iCs/>
          <w:color w:val="000000"/>
        </w:rPr>
        <w:t>First American Bank of Kenya Ltd v Shah</w:t>
      </w:r>
      <w:r w:rsidR="00924F0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[2002] 1 EA 64 considered.</w:t>
      </w:r>
    </w:p>
    <w:p w:rsidR="00E74A63" w:rsidRDefault="00E74A63" w:rsidP="00924F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High Court attendance fees, unlike those in the lower Court, are only chargeable on the higher scale</w:t>
      </w:r>
      <w:r w:rsidR="00924F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a judge has certified that the matter be taxed on the said scale because of the nature, importance,</w:t>
      </w:r>
      <w:r w:rsidR="00924F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difficulty or urgency of the case or issues involved in the case. Where no such order is made under</w:t>
      </w:r>
      <w:r w:rsidR="00924F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50A of the Advocate’s Remuneration Order, the costs shall be taxed in accordance with the</w:t>
      </w:r>
      <w:r w:rsidR="00924F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lower scale.</w:t>
      </w:r>
      <w:r w:rsidR="00924F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curiam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>Unless there is an order for a retrial of a matter, there is but one trial of a suit and many</w:t>
      </w:r>
      <w:r w:rsidR="00924F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days to which such trial may be adjourned. To say otherwise is complete heresy of the rules of</w:t>
      </w:r>
      <w:r w:rsidR="00924F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procedure.</w:t>
      </w:r>
    </w:p>
    <w:p w:rsidR="00E74A63" w:rsidRDefault="00E74A63" w:rsidP="00924F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fails and is dismissed.</w:t>
      </w:r>
    </w:p>
    <w:p w:rsidR="00E74A63" w:rsidRDefault="00E74A63" w:rsidP="00924F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E74A63" w:rsidRDefault="00E74A63" w:rsidP="00924F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E74A63" w:rsidRDefault="00E74A63" w:rsidP="00924F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E74A63" w:rsidRDefault="00E74A63" w:rsidP="00924F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E74A63" w:rsidRDefault="00E74A63" w:rsidP="00924F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 xml:space="preserve">First American Bank of Kenya Ltd v Shah and others </w:t>
      </w:r>
      <w:r>
        <w:rPr>
          <w:rFonts w:ascii="Times New Roman" w:hAnsi="Times New Roman" w:cs="Times New Roman"/>
          <w:color w:val="000000"/>
        </w:rPr>
        <w:t xml:space="preserve">[2002] 1 EA 64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E74A63" w:rsidRDefault="00E74A63" w:rsidP="00924F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Kassim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International Ltd </w:t>
      </w:r>
      <w:r>
        <w:rPr>
          <w:rFonts w:ascii="Times New Roman" w:hAnsi="Times New Roman" w:cs="Times New Roman"/>
          <w:color w:val="000000"/>
        </w:rPr>
        <w:t xml:space="preserve">[2001] 1 EA 98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E74A63" w:rsidRDefault="00E74A63" w:rsidP="00924F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Raichand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v Quarry Services EA Limited </w:t>
      </w:r>
      <w:r>
        <w:rPr>
          <w:rFonts w:ascii="Times New Roman" w:hAnsi="Times New Roman" w:cs="Times New Roman"/>
          <w:color w:val="000000"/>
        </w:rPr>
        <w:t>[1972] EA 162</w:t>
      </w:r>
    </w:p>
    <w:p w:rsidR="00E74A63" w:rsidRDefault="00E74A63" w:rsidP="00924F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SRD Souza and others v CC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Ferr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[1960] EA 602</w:t>
      </w:r>
    </w:p>
    <w:p w:rsidR="00E74A63" w:rsidRDefault="00E74A63" w:rsidP="00924F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Steel Construction Petroleum Engineering (EA) Ltd v Uganda Sugar Factory </w:t>
      </w:r>
      <w:r>
        <w:rPr>
          <w:rFonts w:ascii="Times New Roman" w:hAnsi="Times New Roman" w:cs="Times New Roman"/>
          <w:color w:val="000000"/>
        </w:rPr>
        <w:t>[1970] EA 141</w:t>
      </w:r>
    </w:p>
    <w:p w:rsidR="0079295A" w:rsidRPr="00E74A63" w:rsidRDefault="00E74A63" w:rsidP="00924F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Thomas James Arthur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Nyeri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Electricity Undertaking </w:t>
      </w:r>
      <w:r>
        <w:rPr>
          <w:rFonts w:ascii="Times New Roman" w:hAnsi="Times New Roman" w:cs="Times New Roman"/>
          <w:color w:val="000000"/>
        </w:rPr>
        <w:t>[1961] EA 492</w:t>
      </w:r>
    </w:p>
    <w:sectPr w:rsidR="0079295A" w:rsidRPr="00E74A63" w:rsidSect="00924F0E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63"/>
    <w:rsid w:val="0079295A"/>
    <w:rsid w:val="00924F0E"/>
    <w:rsid w:val="00E7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3A0BB-5BBF-4B2D-A740-5DF2B2E8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2018-07-05T05:42:00Z</dcterms:created>
  <dcterms:modified xsi:type="dcterms:W3CDTF">2018-07-09T18:38:00Z</dcterms:modified>
</cp:coreProperties>
</file>