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192" w:rsidRDefault="00551192" w:rsidP="00551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Asea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Brown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Boveri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Bawazir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Glass Works Ltd and another</w:t>
      </w:r>
    </w:p>
    <w:p w:rsidR="00551192" w:rsidRDefault="00551192" w:rsidP="00551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551192" w:rsidRDefault="00551192" w:rsidP="00551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7 April 2005</w:t>
      </w:r>
    </w:p>
    <w:p w:rsidR="00551192" w:rsidRDefault="00551192" w:rsidP="00551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1619/00</w:t>
      </w:r>
    </w:p>
    <w:p w:rsidR="00551192" w:rsidRDefault="00551192" w:rsidP="00551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Emukule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551192" w:rsidRDefault="00551192" w:rsidP="00551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51192" w:rsidRDefault="00551192" w:rsidP="00551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551192" w:rsidRDefault="00551192" w:rsidP="00551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Advocate – Remuneration – Attendance fees in the High Court – Higher and lower scale – Principle</w:t>
      </w:r>
      <w:r w:rsidR="00EF1C8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regarding the scale upon which costs shall be taxed.</w:t>
      </w:r>
    </w:p>
    <w:p w:rsidR="00551192" w:rsidRDefault="00551192" w:rsidP="00551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Advocate – Remuneration – Instructions and getting-up fees – Whether they could be chargeable</w:t>
      </w:r>
      <w:r w:rsidR="00EF1C8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more than once – Whether the time lapse between one hearing and another may justify an increase in</w:t>
      </w:r>
      <w:r w:rsidR="00EF1C8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instruction fee – Schedule VI – Advocate’s Remuneration Order.</w:t>
      </w:r>
    </w:p>
    <w:p w:rsidR="00551192" w:rsidRDefault="00EF1C8C" w:rsidP="00551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551192">
        <w:rPr>
          <w:rFonts w:ascii="Times New Roman" w:hAnsi="Times New Roman" w:cs="Times New Roman"/>
          <w:i/>
          <w:iCs/>
          <w:color w:val="000000"/>
        </w:rPr>
        <w:t>[3] Advocate – Remuneration – Taxation reference – Principles governing taxation of costs and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551192">
        <w:rPr>
          <w:rFonts w:ascii="Times New Roman" w:hAnsi="Times New Roman" w:cs="Times New Roman"/>
          <w:i/>
          <w:iCs/>
          <w:color w:val="000000"/>
        </w:rPr>
        <w:t>reference to the High Court from the taxing officer’s decision.</w:t>
      </w:r>
    </w:p>
    <w:p w:rsidR="00551192" w:rsidRDefault="00551192" w:rsidP="00551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Words and Phrases – “Hearing” – “Trial” – Though there may be several days of hearing there is</w:t>
      </w:r>
      <w:r w:rsidR="00EF1C8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but one trial commencing from the first date of hearing.</w:t>
      </w:r>
    </w:p>
    <w:p w:rsidR="00551192" w:rsidRDefault="00EF1C8C" w:rsidP="00EF1C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F1C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Emukule</w:t>
      </w:r>
      <w:proofErr w:type="spellEnd"/>
      <w:r w:rsidRPr="00EF1C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J: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This ruling relates to an application by way of a chamber summons brought under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paragraph 11 of the Advocates (Remuneration) Order, and all enabling provisions of the law and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procedure. The application seeks three orders: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gramStart"/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gramEnd"/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the decision of the taxing officer (the </w:t>
      </w:r>
      <w:proofErr w:type="spellStart"/>
      <w:r w:rsidRPr="00EF1C8C">
        <w:rPr>
          <w:rFonts w:ascii="Times New Roman" w:hAnsi="Times New Roman" w:cs="Times New Roman"/>
          <w:color w:val="000000"/>
          <w:sz w:val="24"/>
          <w:szCs w:val="24"/>
        </w:rPr>
        <w:t>Honourable</w:t>
      </w:r>
      <w:proofErr w:type="spellEnd"/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1C8C">
        <w:rPr>
          <w:rFonts w:ascii="Times New Roman" w:hAnsi="Times New Roman" w:cs="Times New Roman"/>
          <w:color w:val="000000"/>
          <w:sz w:val="24"/>
          <w:szCs w:val="24"/>
        </w:rPr>
        <w:t>Meoli</w:t>
      </w:r>
      <w:proofErr w:type="spellEnd"/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Deputy Registrar) taxing the Bill in this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case in the sum of KShs521 860-20 be reviewed and/or set aside;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the Court be pleased to substitute its own decision therefore taxing the Bill in the sum of</w:t>
      </w:r>
    </w:p>
    <w:p w:rsidR="00EF1C8C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KShs747 080-70;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costs of this application be provided for.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The application is supported by the affidavit of Anthony </w:t>
      </w:r>
      <w:proofErr w:type="spellStart"/>
      <w:r w:rsidRPr="00EF1C8C">
        <w:rPr>
          <w:rFonts w:ascii="Times New Roman" w:hAnsi="Times New Roman" w:cs="Times New Roman"/>
          <w:color w:val="000000"/>
          <w:sz w:val="24"/>
          <w:szCs w:val="24"/>
        </w:rPr>
        <w:t>Thiongo</w:t>
      </w:r>
      <w:proofErr w:type="spellEnd"/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Njoroge</w:t>
      </w:r>
      <w:proofErr w:type="spellEnd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and the grounds following: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the taxing officer erred in law and in fact to consider substantially and apply the provisions of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Schedule VI paragraph 2 of the Advocates (Remuneration) (Amendment) Order 1997 when taxing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items 101 and 116 of the plaintiff’s Bill of Costs.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the taxing officer erred in law and in fact in failing to find that the plaintiff’s advocates perhaps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had prepared for trial on 14 January 2003 and 10 June 2003 and is therefore entitled to the instructions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fees claimed in items 101 and 116 of the Bill of Costs.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the taxing officer erred in law and in fact in taxing items 103 and 104 of the Bill of Costs in the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lower scale yet this is suit where a denial of liability. All costs are charged on the higher scale where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there is a denial of liability.</w:t>
      </w:r>
    </w:p>
    <w:p w:rsidR="00551192" w:rsidRPr="00EF1C8C" w:rsidRDefault="00EF1C8C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4. A</w:t>
      </w:r>
      <w:r w:rsidR="00551192" w:rsidRPr="00EF1C8C">
        <w:rPr>
          <w:rFonts w:ascii="Times New Roman" w:hAnsi="Times New Roman" w:cs="Times New Roman"/>
          <w:color w:val="000000"/>
          <w:sz w:val="24"/>
          <w:szCs w:val="24"/>
        </w:rPr>
        <w:t>nd on other grounds that may be raised at the hearing of the application.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In the event there were no other grounds raised during the hearing of the application, </w:t>
      </w:r>
      <w:proofErr w:type="spellStart"/>
      <w:r w:rsidRPr="00EF1C8C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Njoroge</w:t>
      </w:r>
      <w:proofErr w:type="spellEnd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learned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counsel for the applicant told the Court that there are four items in dispute in the decision of the taxing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officer. He grouped them into two clusters. The first cluster concerned items 101 and 116 of the Bill of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Costs. These items related to the instruction fee and the fee for getting-up. The second cluster concerned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items 103 and 104. These items related to charges for attendances before the judge.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On items 101 and 116, learned counsel for the applicant told the Court that there was a considerable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lapse of time between the dates when the suit was first heard (item 90) and he had to get-up for trial, that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is to say, the 30 May 2002 and the subsequent hearing dates on 14 January 2003 (item 101), and again on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10 June 2003 (item 116). Counsel accepted that getting-up fees were allowed as charged under item 90.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lastRenderedPageBreak/>
        <w:t>He however claimed that by virtue of the considerable lapse of time, he was entitled to further getting-up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fees under items 101 and 116 on the respective dates to which the hearing of the case had been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adjourned.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In support of this proposition counsel referred to the proviso set out in paragraph 2 of Schedule VI to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the Advocates (Remuneration) (Amendment) Order of 1997 which provided for an increase in fees. The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applicant did not seek such an increase. He sought an additional getting-up fee. In his understanding the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proviso for increase of fee in the event of an adjournment clearly means that there is a separate getting-up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fee each time a matter is adjourned.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In disallowing these items (101 and 116) counsel submitted, the taxing officer erred in principle. In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this counsel’s view, getting-up fees are chargeable each time the matter is adjourned and heard on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another date. Counsel relied upon the case of </w:t>
      </w:r>
      <w:proofErr w:type="spellStart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Kassim</w:t>
      </w:r>
      <w:proofErr w:type="spellEnd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</w:t>
      </w:r>
      <w:proofErr w:type="spellStart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Habre</w:t>
      </w:r>
      <w:proofErr w:type="spellEnd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International Ltd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[2001] 1 EA 98. I shall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refer to both this case, and the proviso to Schedule </w:t>
      </w:r>
      <w:proofErr w:type="gramStart"/>
      <w:r w:rsidRPr="00EF1C8C">
        <w:rPr>
          <w:rFonts w:ascii="Times New Roman" w:hAnsi="Times New Roman" w:cs="Times New Roman"/>
          <w:color w:val="000000"/>
          <w:sz w:val="24"/>
          <w:szCs w:val="24"/>
        </w:rPr>
        <w:t>VI(</w:t>
      </w:r>
      <w:proofErr w:type="gramEnd"/>
      <w:r w:rsidRPr="00EF1C8C">
        <w:rPr>
          <w:rFonts w:ascii="Times New Roman" w:hAnsi="Times New Roman" w:cs="Times New Roman"/>
          <w:color w:val="000000"/>
          <w:sz w:val="24"/>
          <w:szCs w:val="24"/>
        </w:rPr>
        <w:t>2) of the Advocates (Remuneration) (Amendment)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Order in due course.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The second cluster of the applicant’s reference concerned attendance fees on items 103 and 104 and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charged for attendance before the Judge in the course of the hearing of the case. Counsel submitted that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these costs be charged on the higher scale as provided under Schedule VI, rule 2(</w:t>
      </w:r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) of the Remuneration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Order.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In summary, counsel submitted, the Bill of Costs was taxed at KShs521 800-20 and asked the Court to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review the Bill of Costs to KShs722 500-70 by awarding getting-up fees and attendance costs on those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items. Counsel for the applicant accepted that the instruction fee was static and that for these matters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under reference, the Court should not refer the matter back to the taxing officer, but should rather deal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with the matter applying the case of </w:t>
      </w:r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First American Bank of Kenya Ltd v Shah and others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[2002] 1 EA 64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at 66 and decide the matter conclusively.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1C8C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Shah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, learned counsel for the defendant/respondent opposed the application. Counsel submitted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that there was a substantial difference between the expression “trial” and “hearing”. There is usually only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one trial before the Court during which the parties’ respective claims are tested in evidence and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cross-examination. The trial of a case may be adjourned, and heard from day to day. Each of the days to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which a case is adjourned is just but a day in the trial of the suit. It does not constitute a new trial.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Counsel cited the Goldenberg Inquiry, and posited that if the advocates were to charge for every session,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the fees would be both astronomical and incalculable.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In his submission Schedule VI paragraph 2, provides for a single fee. It is clearly so from the proviso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(ii).There were three days of trial. There was no request for 15% increase over the final fee. There was no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error of principle of law. The taxing officer was absolutely correct in allowing one instruction fee. The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Court could only interfere with the decisions of the taxing officer if there was an error of principle. So far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as the instruction fee was concerned there was no error of principle. The applicant is in essence asking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for doubling of the instruction fees and this is not allowable.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An advocate gets up for hearing only once. There is no authority for the proposition that getting-up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fees are chargeable for each hearing.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On items 103 and 104, regarding attendances at the hearing </w:t>
      </w:r>
      <w:proofErr w:type="spellStart"/>
      <w:r w:rsidRPr="00EF1C8C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Shah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, learned counsel for the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respondent, submitted that an advocate is entitled to a fee on the higher scale where a judge has certified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that matter to be taxed on the higher scale on the ground of complexity of the issues involved. No such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orders were made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in the present case. The taxing officer took this point in her ruling, and there is no error on the face of the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record as it relates to items 19-22 inclusive which both parties agreed to be taxed off.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lastRenderedPageBreak/>
        <w:t>In summary counsel reiterated his submissions that a suit proceeds to hearing only once, unless the</w:t>
      </w:r>
      <w:r w:rsid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Court orders a re-trial. In this case the suit proceeded to trial once, and hearing proceeded for several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days. Submitting that there was pressure on the Courts, but to accept submissions by counsel for the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applicant that there was trial for several days, and therefore entitling him to getting-up fees on each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occasion, would not be in the interests of justice.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There was no error in principle by the learned taxing officer. In the event however that the Court finds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an error of principle on the face of the record in the decision of the learned taxing officer, it should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substitute its own decision for that of the taxing officer.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In support of his submission </w:t>
      </w:r>
      <w:proofErr w:type="spellStart"/>
      <w:r w:rsidRPr="00EF1C8C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Shah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, referred the Court to the cases of (1) </w:t>
      </w:r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SRD Souza and others v</w:t>
      </w:r>
      <w:r w:rsid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CC </w:t>
      </w:r>
      <w:proofErr w:type="spellStart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Ferr</w:t>
      </w:r>
      <w:proofErr w:type="spellEnd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and others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[1960] EA 602 and (2) </w:t>
      </w:r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Thomas James Arthur v </w:t>
      </w:r>
      <w:proofErr w:type="spellStart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Nyeri</w:t>
      </w:r>
      <w:proofErr w:type="spellEnd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Electricity Undertaking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[1961]</w:t>
      </w:r>
      <w:r w:rsid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EA 492.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Having set out </w:t>
      </w:r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 </w:t>
      </w:r>
      <w:proofErr w:type="spellStart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extenso</w:t>
      </w:r>
      <w:proofErr w:type="spellEnd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the rival parties’ submissions, I shall now proceed to render my opinion and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decision on the matter.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The applicant’s contention is that the learned taxing officer erred in principle and in law by refusing: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) To allow the applicant getting-up fees on three separate occasions, and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) To allow the attendances costs on the higher scale.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The authorities are more or less settled that this Court will interfere with the discretion of the learned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taxing officer on clear </w:t>
      </w:r>
      <w:proofErr w:type="gramStart"/>
      <w:r w:rsidRPr="00EF1C8C">
        <w:rPr>
          <w:rFonts w:ascii="Times New Roman" w:hAnsi="Times New Roman" w:cs="Times New Roman"/>
          <w:color w:val="000000"/>
          <w:sz w:val="24"/>
          <w:szCs w:val="24"/>
        </w:rPr>
        <w:t>grounds, that</w:t>
      </w:r>
      <w:proofErr w:type="gramEnd"/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the taxing officer has erred on principle. (</w:t>
      </w:r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Steel Construction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Petroleum Engineering (EA) Ltd v Uganda Sugar Factory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[1970] EA 141) or that the fee awarded was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manifestly excessive as to justify an inference that it was based on an error of principle. In the case of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Kassim</w:t>
      </w:r>
      <w:proofErr w:type="spellEnd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</w:t>
      </w:r>
      <w:proofErr w:type="spellStart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Habre</w:t>
      </w:r>
      <w:proofErr w:type="spellEnd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International Limited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supra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) the Supreme Court of Uganda restated the matter as</w:t>
      </w:r>
      <w:r w:rsid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follows: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“(</w:t>
      </w:r>
      <w:proofErr w:type="gramStart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proofErr w:type="gramEnd"/>
      <w:r w:rsidRPr="00EF1C8C">
        <w:rPr>
          <w:rFonts w:ascii="Times New Roman" w:hAnsi="Times New Roman" w:cs="Times New Roman"/>
          <w:color w:val="000000"/>
          <w:sz w:val="24"/>
          <w:szCs w:val="24"/>
        </w:rPr>
        <w:t>) A reference on tax action would be entertained either on a point of law or principle or on the ground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that the bill of costs as taxed was in all the circumstances manifestly excessive or manifestly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inadequate.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) The principles governing the taxation of costs by a taxing officer were that: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F1C8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F1C8C">
        <w:rPr>
          <w:rFonts w:ascii="Times New Roman" w:hAnsi="Times New Roman" w:cs="Times New Roman"/>
          <w:color w:val="000000"/>
          <w:sz w:val="24"/>
          <w:szCs w:val="24"/>
        </w:rPr>
        <w:t>) The instruction fee should cover the advocate’s work including taking instructions and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preparing the case for trial and appeal.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(ii) The taxing master was expected to tax each bill on its merits.</w:t>
      </w:r>
    </w:p>
    <w:p w:rsidR="00551192" w:rsidRPr="00EF1C8C" w:rsidRDefault="0029031E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(iii</w:t>
      </w:r>
      <w:r w:rsidR="00551192" w:rsidRPr="00EF1C8C">
        <w:rPr>
          <w:rFonts w:ascii="Times New Roman" w:hAnsi="Times New Roman" w:cs="Times New Roman"/>
          <w:color w:val="000000"/>
          <w:sz w:val="24"/>
          <w:szCs w:val="24"/>
        </w:rPr>
        <w:t>) The value of the subject matter had to be taken into account.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1C8C">
        <w:rPr>
          <w:rFonts w:ascii="Times New Roman" w:hAnsi="Times New Roman" w:cs="Times New Roman"/>
          <w:color w:val="000000"/>
          <w:sz w:val="24"/>
          <w:szCs w:val="24"/>
        </w:rPr>
        <w:t>(iv)</w:t>
      </w:r>
      <w:proofErr w:type="gramEnd"/>
      <w:r w:rsidRPr="00EF1C8C">
        <w:rPr>
          <w:rFonts w:ascii="Times New Roman" w:hAnsi="Times New Roman" w:cs="Times New Roman"/>
          <w:color w:val="000000"/>
          <w:sz w:val="24"/>
          <w:szCs w:val="24"/>
        </w:rPr>
        <w:t>The taxing master’s discretion had to be exercised judicially and not whimsically or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capriciously.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(v) Though the successful litigant was entitled to a fair reimbursement, the taxing master had to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consider the public policy such that costs were not to be allowed to a level that would confine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access to the Courts to the wealthy while at the same time, the general level of remuneration of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advocates had to be such as to attract recruits to the profession as per </w:t>
      </w:r>
      <w:proofErr w:type="spellStart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Raichand</w:t>
      </w:r>
      <w:proofErr w:type="spellEnd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Limited v</w:t>
      </w:r>
      <w:r w:rsidR="00EF1C8C"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Quarry Services EA Limited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[1972] EA 162.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(vi) The taxing officer had to tax the Bill of Costs in accordance with the applicable Schedule.”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According to the matter at hand, the parties’ counsel are agreed that the instruction fee at item 90 was</w:t>
      </w:r>
      <w:r w:rsidR="002903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>Properly</w:t>
      </w:r>
      <w:proofErr w:type="gramEnd"/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allowed. Both counsel agreed and applied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the case of </w:t>
      </w:r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First American Bank of Kenya Ltd v Shah and another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supra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) that the instruction fee was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static, that it is chargeable only once.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Having agreed on or accepted this basic tenet, it is hard to find support for argument such as the one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by the applicant’s counsel, that notwithstanding this basic and accepted principle on taxation of advocate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costs, that the getting-up fee which is based upon the instruction fee is somewhat elastic and is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chargeable on every day to which the case is adjourned more so, if the periods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lastRenderedPageBreak/>
        <w:t>between one hearing date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to another are long. There is neither such rule in law or principle. Schedule </w:t>
      </w:r>
      <w:r w:rsidR="0029031E" w:rsidRPr="00EF1C8C">
        <w:rPr>
          <w:rFonts w:ascii="Times New Roman" w:hAnsi="Times New Roman" w:cs="Times New Roman"/>
          <w:color w:val="000000"/>
          <w:sz w:val="24"/>
          <w:szCs w:val="24"/>
        </w:rPr>
        <w:t>VI (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2) is in these terms: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“2. Fees for getting-up or preparation for trial.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In any case in which a denial of liability is filed or in which issues for trial are joined by pleadings a fee for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getting up and preparing the case for trial shall be allowed in addition to the instruction and shall not be less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than one third of the instruction fee allowed on taxation.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Provided that: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EF1C8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EF1C8C">
        <w:rPr>
          <w:rFonts w:ascii="Times New Roman" w:hAnsi="Times New Roman" w:cs="Times New Roman"/>
          <w:color w:val="000000"/>
          <w:sz w:val="24"/>
          <w:szCs w:val="24"/>
        </w:rPr>
        <w:t>) This fee may be increased as the taxation officer considers reasonable but it does not include any work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comprised in the instruction fee.”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This rule clearly states that the getting-up fee shall not be less than one third of the instruction fee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allowed on the taxation. The taxing officer having allowed instruction fee (on item 90) of the Bill of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Costs and a getting-up fee thereon (on item 101), no other fee is allowed, consequently the taxing officer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arrived at the correct decision, and did nor err either in law or principle.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A fee upon attendance before the judge either in Court or in chambers is governed by Schedule </w:t>
      </w:r>
      <w:proofErr w:type="gramStart"/>
      <w:r w:rsidRPr="00EF1C8C">
        <w:rPr>
          <w:rFonts w:ascii="Times New Roman" w:hAnsi="Times New Roman" w:cs="Times New Roman"/>
          <w:color w:val="000000"/>
          <w:sz w:val="24"/>
          <w:szCs w:val="24"/>
        </w:rPr>
        <w:t>VI(</w:t>
      </w:r>
      <w:proofErr w:type="gramEnd"/>
      <w:r w:rsidRPr="00EF1C8C"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paragraph 7(</w:t>
      </w:r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). Unlike Schedule </w:t>
      </w:r>
      <w:proofErr w:type="gramStart"/>
      <w:r w:rsidRPr="00EF1C8C">
        <w:rPr>
          <w:rFonts w:ascii="Times New Roman" w:hAnsi="Times New Roman" w:cs="Times New Roman"/>
          <w:color w:val="000000"/>
          <w:sz w:val="24"/>
          <w:szCs w:val="24"/>
        </w:rPr>
        <w:t>VIIA(</w:t>
      </w:r>
      <w:proofErr w:type="gramEnd"/>
      <w:r w:rsidRPr="00EF1C8C">
        <w:rPr>
          <w:rFonts w:ascii="Times New Roman" w:hAnsi="Times New Roman" w:cs="Times New Roman"/>
          <w:color w:val="000000"/>
          <w:sz w:val="24"/>
          <w:szCs w:val="24"/>
        </w:rPr>
        <w:t>1) Costs of proceedings in Subordinate Courts, which in a note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thereto states that “Lower Scale” shall be applied in all cases where no </w:t>
      </w:r>
      <w:proofErr w:type="spellStart"/>
      <w:r w:rsidRPr="00EF1C8C">
        <w:rPr>
          <w:rFonts w:ascii="Times New Roman" w:hAnsi="Times New Roman" w:cs="Times New Roman"/>
          <w:color w:val="000000"/>
          <w:sz w:val="24"/>
          <w:szCs w:val="24"/>
        </w:rPr>
        <w:t>defence</w:t>
      </w:r>
      <w:proofErr w:type="spellEnd"/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or other denial of liability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has been filed and “Higher Scale” shall be applied in all other cases, no such similar provision exists in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Schedule VIA(7), explaining the application of the “Ordinary” and “Higher Scale.” The terminology in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the two Schedules VI and VII is not only different but different rules apply to their use or application.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Schedule VII applies to fees in the lower or subordinate Courts. Schedule VI applies to fees in the High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Court. It is a mistaken belief that because, the Higher Scale applies automatically to all defended suits in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the subordinate Courts that the same rule or concept applies to defended suits in the High Court.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The application of the costs on “Higher Scale” to proceedings in the High Court is governed by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paragraphs 50 and 50A of the Advocates (Remuneration) Order which provides as follows: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“50. Subject to paragraphs 22 and 58 and to any order of the Court in the particular case, a bill of costs in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proceedings in the High Court shall be taxable in accordance with Schedule VI and unless the Court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has made an order under paragraph 50A, where Schedule VI provides a higher and lower scale the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costs shall be taxed in accordance with the lower scale.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50A. The Court may make an order that costs are to be taxed on the higher scale in Schedule VI on special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grounds arising out of the nature and importance or difficulty or urgency of the case; the higher scale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may be allowed either generally in any cause, or matter or in respect of any particular application made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or business done.”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The effect of these paragraphs 50 and 50A of the Advocates (Remuneration) Order is that an advocate is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entitled to tax his bill on a higher scale only in cases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where a judge has certified that the matter be taxed on a higher scale because of the nature, importance,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difficulty or urgency of the case or issues involved in the case. Where no such order is specifically made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under paragraph 50A aforesaid, the costs shall be taxed in accordance with the lower scale.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Once again, the learned taxing officer arrived at the correct decision in her decision on items 103 and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104 of the Bill of Costs and taxed the same on the lower scale as is required by paragraph 50 of the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Advocates (Remuneration) Order.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In the result therefore, the application herein has absolutely no merit at all. However before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concluding my remarks, I would like to concur with </w:t>
      </w:r>
      <w:proofErr w:type="spellStart"/>
      <w:r w:rsidRPr="00EF1C8C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Shah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learned counsel for the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defendant/respondent that unless there is an order for a retrial of a matter, there is but one trial of a suit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and many hearing days to which such trial may be adjourned. To say otherwise is complete heresy to the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rules of procedure – Order XVI, rule 1: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“</w:t>
      </w:r>
      <w:bookmarkStart w:id="0" w:name="_GoBack"/>
      <w:bookmarkEnd w:id="0"/>
      <w:r w:rsidR="0029031E" w:rsidRPr="00EF1C8C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in any suit in which a hearing of evidence has once began, the hearing shall be continued from day to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day until all the witnesses in attendance have been examined unless the Court finds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adjournment of the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hearing beyond the following day to be necessary for reasons to be recorded.”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So therefore although there may be several days of hearing, there is but one trial of case commencing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from the first date of hearing and continuing for two or more days until all the number of witnesses called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and/or recalled have been heard, and their evidence recorded pending the consideration thereof by the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Court in the case of rendering its opinion or judgment.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In the result therefore the taxing officer made the correct decisions in respect of all the items 101,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116, 103 and 104 in contention and did not err either in principle or in law. The applicant’s reference has</w:t>
      </w:r>
      <w:r w:rsidR="00EF1C8C"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>therefore no merit at all, and the same is dismissed with costs on the higher scale.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For the applicant: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Mr</w:t>
      </w:r>
      <w:proofErr w:type="spellEnd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Njoroge</w:t>
      </w:r>
      <w:proofErr w:type="spellEnd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Thing’o</w:t>
      </w:r>
      <w:proofErr w:type="spellEnd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instructed by </w:t>
      </w:r>
      <w:proofErr w:type="spellStart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Nderitu</w:t>
      </w:r>
      <w:proofErr w:type="spellEnd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&amp; Partners</w:t>
      </w:r>
    </w:p>
    <w:p w:rsidR="00551192" w:rsidRPr="00EF1C8C" w:rsidRDefault="00551192" w:rsidP="00EF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C8C">
        <w:rPr>
          <w:rFonts w:ascii="Times New Roman" w:hAnsi="Times New Roman" w:cs="Times New Roman"/>
          <w:color w:val="000000"/>
          <w:sz w:val="24"/>
          <w:szCs w:val="24"/>
        </w:rPr>
        <w:t>For the defendant/respondent:</w:t>
      </w:r>
    </w:p>
    <w:p w:rsidR="0079295A" w:rsidRPr="00EF1C8C" w:rsidRDefault="00551192" w:rsidP="00EF1C8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Mr</w:t>
      </w:r>
      <w:proofErr w:type="spellEnd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CR Shah </w:t>
      </w:r>
      <w:r w:rsidRPr="00EF1C8C">
        <w:rPr>
          <w:rFonts w:ascii="Times New Roman" w:hAnsi="Times New Roman" w:cs="Times New Roman"/>
          <w:color w:val="000000"/>
          <w:sz w:val="24"/>
          <w:szCs w:val="24"/>
        </w:rPr>
        <w:t xml:space="preserve">instructed by </w:t>
      </w:r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AR </w:t>
      </w:r>
      <w:proofErr w:type="spellStart"/>
      <w:r w:rsidRPr="00EF1C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Kapila</w:t>
      </w:r>
      <w:proofErr w:type="spellEnd"/>
    </w:p>
    <w:sectPr w:rsidR="0079295A" w:rsidRPr="00EF1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92"/>
    <w:rsid w:val="0029031E"/>
    <w:rsid w:val="00551192"/>
    <w:rsid w:val="0079295A"/>
    <w:rsid w:val="00E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E971A-C89D-4DD7-BB43-32BF6566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2397</Words>
  <Characters>13667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2018-07-05T05:43:00Z</dcterms:created>
  <dcterms:modified xsi:type="dcterms:W3CDTF">2018-07-09T18:49:00Z</dcterms:modified>
</cp:coreProperties>
</file>