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34" w:rsidRPr="008805DA" w:rsidRDefault="00E53134" w:rsidP="00E5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8805DA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Attorney-General v </w:t>
      </w:r>
      <w:proofErr w:type="spellStart"/>
      <w:r w:rsidRPr="008805DA">
        <w:rPr>
          <w:rFonts w:ascii="Times New Roman" w:hAnsi="Times New Roman" w:cs="Times New Roman"/>
          <w:b/>
          <w:bCs/>
          <w:color w:val="000080"/>
          <w:sz w:val="24"/>
          <w:szCs w:val="24"/>
        </w:rPr>
        <w:t>Shavu</w:t>
      </w:r>
      <w:proofErr w:type="spellEnd"/>
    </w:p>
    <w:p w:rsidR="00E53134" w:rsidRPr="008805DA" w:rsidRDefault="00E53134" w:rsidP="00E5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Division: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Court of Appeal of Tanzania at Dar-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Es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-Salaam</w:t>
      </w:r>
    </w:p>
    <w:p w:rsidR="00E53134" w:rsidRPr="008805DA" w:rsidRDefault="00E53134" w:rsidP="00E5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judgment: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26 November 1999</w:t>
      </w:r>
    </w:p>
    <w:p w:rsidR="00E53134" w:rsidRPr="008805DA" w:rsidRDefault="00E53134" w:rsidP="00E5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Number: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1/98</w:t>
      </w:r>
    </w:p>
    <w:p w:rsidR="00E53134" w:rsidRPr="008805DA" w:rsidRDefault="00E53134" w:rsidP="00E5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Before: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Kisanga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Mfalila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Lugakingira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JJA</w:t>
      </w:r>
    </w:p>
    <w:p w:rsidR="00E53134" w:rsidRPr="008805DA" w:rsidRDefault="00E53134" w:rsidP="00E5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Sourced by: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L J S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Mwandambo</w:t>
      </w:r>
      <w:proofErr w:type="spellEnd"/>
    </w:p>
    <w:p w:rsidR="00E53134" w:rsidRPr="008805DA" w:rsidRDefault="00E53134" w:rsidP="00E5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80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Summarised</w:t>
      </w:r>
      <w:proofErr w:type="spellEnd"/>
      <w:r w:rsidRPr="00880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by: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H K Mutai</w:t>
      </w:r>
    </w:p>
    <w:p w:rsidR="00E53134" w:rsidRPr="008805DA" w:rsidRDefault="00EF3205" w:rsidP="00EF32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880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JUDGMENT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LUGAKINGIRA JA: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This appeal arises from the judgment and decree of the High Court sitting at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Dar-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es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-Salaam in civil case number 128 of 1993. The suit was founded on trespass to property and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person of the Respondent/Plaintiff.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The Respondent was a businessman operating a bar, a lodging, a restaurant and a shop in premises situate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on plot number 5/A at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Kibondo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Minor Settlement in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Kigoma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region. There were three Defendants before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the High Court: the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Kibondo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District Area Commissioner, one TAK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Msonge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, the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Kigoma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Regional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Trading Co Ltd, which carried on wholesale and retail business in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Kigoma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region, and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Attorney-General. It was found at the trial that on 27 November 1978 the First Defendant, purporting to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act in his official capacity, ordered the Respondent’s arrest and he was duly arrested and detained in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police custody overnight. Meanwhile, agents of the First and Second Defendants broke into and entered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Respondent’s business premises, then removed and took away the Respondent’s entire property. It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included goods worth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357 253, cash amounting to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90 000 and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cheques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worth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4 800.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Nothing was to be restored. This outrageous act apparently came in the wake of a breakdown in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negotiations whereby the Respondent was to hand over his premises to the Second Defendant in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exchange for the Second Defendant’s premises on plot number 7/D. The Second Defendant accordingly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took occupation of the Respondent’s premises but the Respondent could not move to Plot Number 7/D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because the promises were 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>dilapidated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Up until November 1992, the Respondent sought compensation from the government, alternatively,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the consent of the Minister to sue, but while the government admitted liability substantially, it offered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compensation which the Respondent considered inadequate and consent to sue was flatly refused. In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August 1993, following a change in the law, the Respondent instituted this suit against the Defendants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jointly and severally claiming damages for false imprisonment, compensation for goods and money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seized, loss of earnings, and cost of modifications to the business premises, plus interest and costs. The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Second Defendant did not enter appearance and did not file a written statement 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, whereupon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judgment was entered against it on 2 March 1995. The Attorney-General and the First Defendant were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represented by a State Attorney and filed a joint written statement 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. On the day fixed for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hearing, 28 April 1995, counsel for the Defendants did not appear and the Court proceeded to take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evidence from the Respondent. In the end the Court granted all the claims as well as compensation of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878 383 107 for the devaluation of the shilling, along with interest and costs.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The Attorney-General was aggrieved by the decision and brought this appeal on the following four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grounds:</w:t>
      </w:r>
    </w:p>
    <w:p w:rsidR="00EF3205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“1. The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Judge erred in law in allowing Defendant (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sic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) to prove his case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parte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the way 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did, contrary to Order IX, Rule 6 of the Civil Procedure Code 1966 as amended by GN 376 of 1968,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Government Proceedings (Procedure) Rules 1968.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2. That the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Judge erred in fact when he awarded compensation based on the United States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dollar instead of the Tanzanian Shilling.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3. That the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Judge erred in law by taking into consideration devaluation and also awarding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interest.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4. That the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Judge erred in law when he granted the whole amount quoted as loss of earnings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without considering whether or not the Respondent did mitigate his loss”.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We will start with the first ground, move on to the fourth, and revert to the second and third grounds.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On the first ground,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Mwidunda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who appeared for the Attorney-General submitted that the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 parte</w:t>
      </w:r>
      <w:r w:rsid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proof ordered by the trial Judge was fatally irregular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as it ignored the provisions of Order 9, Rule 6 as modified by GN 376 of 1968. This Government Notice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introduces various modifications in the First Schedule to the Civil Procedure Code to cater for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proceedings under the Government Proceedings Act, 1967. In its unmodified form Rule 6(1</w:t>
      </w:r>
      <w:proofErr w:type="gram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) of Order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9 reads thus: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“6(1) Where the Plaintiff appears and the Defendant does not appear when the suit is called for hearing then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) (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) if the suit is before the High Court and it is proved that the summons was duly served,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court may proceed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 parte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As modified by GN 376 of 1968,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paragrah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) reads thus: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“ (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) if the Defendant is the Attorney-General and it is proved that the summons was duly served, the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Plaintiff may apply for leave to proceed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parte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and the court shall thereupon fix a day for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hearing of the application and shall direct that notice of the application and of such day be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given to the Attorney-General;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(ii) 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>Where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the Attorney-General appears at the hearing of the application under this paragraph and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assigns good cause for his previous non-appearance, he may, upon such terms as the court may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direct as to costs or otherwise, be heard in answer to the suit as if he had appeared on the day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fixed for hearing of the suit”.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Mwidunda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argued that in view of this modification, the Respondent should have moved the trial court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by a written application as provided under Order 43, Rule 2 to proceed ex parte and the Court should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have fixed a day for hearing the application after notification to the Attorney-General. Since this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procedure was not complied with, but the court proceeded as if GN 376 of 1968 did not exist, the ex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parte proof was incurably irregular.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Lukwaro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appearing for the Respondent disagreed with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Mwidunda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. He stated that GN 376 of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1968 did not apply in this case and gave two reasons. First, he said that the modification applied only “if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the defendant is the Attorney-General”, meaning, if the Attorney-General is the sole defendant. In this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case, however, the Attorney-General was one of three Defendants but not “the Defendant”. Second,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Lukwaro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submitted that Order 9, Rule 6 applies “when the suit is called for hearing”, meaning, when it is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called for the first time for hearing. In this case,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Lukwaro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said, the suit was not first called for hearing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on 28 April 1995, but that was an adjourned date.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It seems logical to begin with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Lukwaro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’s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second point. Indeed in the opening part of Rule 6(1)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words “when the suit is called for hearing” appear to be operative. In one sense that means the court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cannot proceed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parte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if, say, the suit is only coming for mention.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Lukwaro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takes the matter further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to say that those words refer to the first day of hearing. We have given adequate consideration to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argument and we think learned counsel has a point in the first place, there is support for the argument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from learned texts.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Sarkar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(8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) page 478, says the words “called on for hearing” mean “on the first day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of hearing” so as to distinguish Order 9, Rule 6 from Order 179, Rule 20. Similarly,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Woodroffe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(2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page 756, says the words “when the suit is called on” appear to have been inserted so as to limit Order 9,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Rule 6 to the first day of hearing and mark the distinction between these provisions and those of Order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17, Rule 2. Further support for the argument is also found in Order 9 itself read with Order 8, Rule 15. A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careful examination of Order 9 establishes that the whole of it refers to a hearing day fixed in accordance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with the provisions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of Order 8, Rule 15, and that in fact is the first hearing day fixed upon completion of the pleadings. Order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8, Rule 15 says that when the pleadings are complete, “the case shall be deemed to be ready for hearing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and a day shall be fixed by the court accordingly . . .</w:t>
      </w:r>
      <w:proofErr w:type="gram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”.</w:t>
      </w:r>
      <w:proofErr w:type="gram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Order 9, Rule 1 provides for appearance by the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exparties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on the day so fixed and the rest of the Rules under Order 9 provide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lastRenderedPageBreak/>
        <w:t>for the consequences of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non-appearance by the parties or any of them on that day. We are therefore in agreement with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Lukwaro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that the words “when the suit is called for hearing” in Order 9, Rule 6(1) refer to the first day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fixed for hearing.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However, our agreement ends there; we do not think, with 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>respect that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learned counsel is correct in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further stating that Order 9, Rule 6 applies only when the suit is called for hearing on the first occasion. It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seems that he mistakes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Sarkar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where it is said (on page 1309): “Order 9, Rule 6 by itself is not applicable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if the Defendant after having appeared in answer to the summons fails to appear at an adjourned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hearing”.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Learned counsel appears to rely on this passage, and similar passages he read from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Mulia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, to argue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that Order 9 Rule 6 cannot apply in this case because 28 April 1995 was not the first hearing day but an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adjourned hearing day. He overlooks, or so it seems, the significance of the words “by itself” in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passage which imply that Order 9, Rule 6 as such cannot be applied at an adjourned hearing except in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conjunction with some other provisions. These provisions are Order 17, Rule 2 which states: “Where, on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any day to which the hearing of the suit is adjourned, the parties or any of them fail to appear, the Court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may proceed to dispose of the suit in one of the modes directed in that behalf by Order 9 or make such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other order as it thinks fit”.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Therefore, Order 9, Rule 6 is applicable even on an adjourned hearing, but it derives that applicability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from Order 17, Rule 2.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Sarkar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in fact makes this point by again saying (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ibid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“Both under Order 9, Rule 6 and Order 17, Rule 2 the procedure is the same where the Defendant fails to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appear at the hearing, whether the hearing takes place on the day fixed in the summons as contemplated by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Order 9, Rule 6, or at a later date to which the hearing may be adjourned, which is contemplated by Order 17,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Rule 2”.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Woodroffe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states (on page 838) that Order 17, Rule 2 “is an application to adjourned hearings of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procedure prescribed for the first hearing”. It is thus evident that Order 9, Rule 6 when read with Order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17, Rule 2 applies to adjourned hearings and was so applicable in the instant case if, as maintained by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, 28 April 1995 was an adjourned date.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We say if 28 April 1995 was an adjourned date because there is some difficulty in this case in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ascertaining which day was the first day of hearing, the proceedings having taken a checkered course.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The written statement 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for the First and Third Defendants was filed on 16 January 1994 and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hearing was fixed for the first time to proceed on 10 June 1994. On that day, however, hearing was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adjourned to 9 August 1994 due to the absence of the First and Second Defendants. But on that day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neither the Respondent/Plaintiff nor his counsel appeared nor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>was the suit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dismissed for want of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prosecution. There followed an application for restoration of the suit and it was restored on 22 September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1994 when hearing was also fixed for 2 March 1995. On that day judgment was entered against the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Second Defendant but hearing did not proceed; the Judge made an order staying hearing in order for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case to go through the ADR process. It seems that no mediation took place, or it failed,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for the court sat on 11 April 1995 when the Judge ordered: “Hearing adjourned to 28 April 1995”.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word “adjourned” would suggest that 11 April 1995 was a hearing day, but it seems most likely that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Court sat on that day ostensibly to fix a hearing day following the failure of mediation. On 28 April 1995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learned counsel for the Defendants did not appear and the Plaintiff was permitted to proceed.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Now, which was the first day of hearing 10 June 1994, following completion of the pleadings, 2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March 1995, following restoration of the suit, or 28 April 1995, following the failure of mediation? It is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tempting to think that 10 June 1994 cannot be that day because the suit was thereafter dismissed and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ceased to exist, but the temptation is fraught with difficulty since the restoration of the suit operated to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revive all the steps that had been taken before. That being so, 2 March 1995 which followed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restoration cannot be the first hearing day but must rank as an adjourned date.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lastRenderedPageBreak/>
        <w:t>Similarly, 28 April 1995,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though coming after the failure of mediation, cannot be the first hearing day. The scheme of Order 8A, B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and C which provide for alternative dispute resolution does not remove a suit from the jurisdiction of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court but is a process which, if successful, substitutes for a trial. To that end even the </w:t>
      </w:r>
      <w:proofErr w:type="gram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Learned</w:t>
      </w:r>
      <w:proofErr w:type="gram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trial Judge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was careful to say that he was “staying” the hearing but not disposing of the suit. This analysis leaves 10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June 1994 as the first day of hearing and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Lukwaro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was correct in regarding 28 April 1995 as an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adjourned date. It follows from what has been stated earlier that Order 9, Rule 6 was applicable on that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day by virtue of the provisions of Order 17, Rule 2. In fact the trial Judge did not cite any provision while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deciding to proceed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parte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but, as now demonstrated, his decision had the requisite basis in law.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To turn now to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Lukwaro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’s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first point, he said that GN 376 of 1968 applies only where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Attorney-General is the sole defendant.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Mwidunda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countered, but we think without heart, that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modification applies whenever the Attorney-General is a defendant, whether alone or with others.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answer, really, turns on the construction of “if the defendant is the Attorney-General”, and these words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do not present any ambiguity. Giving them their grammatical meaning, they limit the person of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defendant to the Attorney-General only and any attempt to read any other defendant in that context would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be an outrage to the public language. Had the legislature wished to convey a different meaning and to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make it appear that GN 376 of 1968 is applicable whenever the Attorney-General is a defendant, and not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“the Defendant”, it could have said so. For instance in Order 3, Rule l the same GN 376 of 1968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introduces the words “or, where the Attorney-General is a party . . .” and in that context the modification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applies whenever the Attorney-General is a party. We hold, therefore, that the modification to Rule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6(1</w:t>
      </w:r>
      <w:proofErr w:type="gram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) applies where the Attorney-General is the sole Defendant but not where, as in this case, he is one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of several Defendants. In saying so we are also fortified by the modification to Rule 11 of Order 9 which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states: “Provided that if the Attorney-General is a defendant who does not appear, the provisions of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paragraph (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) 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subRule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(1) of Rule 6 shall apply to such non-appearance”.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This means that where the Attorney-General is one of several Defendants and defaults in appearance,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the Court may proceed under Order 9, Rule 6 as if GN 376 of 1968 did not exist. The proviso is a logical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clarification; it is otherwise difficult to imagine a situation whereby the other Defendants would have to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wait while the Attorney-General was being availed the privileges of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Government Notice. For there is no doubt that the modification to Rule 6 extends to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Attorney-General a privilege not enjoyed by other litigants; the legislature could not be so indulgent and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also intend that this privilege should be enjoyed at the expense of co-Defendants. The proviso to Rule 11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puts this beyond doubt.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We are satisfied in the final analysis that GN 376 of 1968 applies to Order 9, Rule 6 only where the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Attorney-General is the sole Defendant but does not apply in a case like the present where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Attorney-General was one of three Defendants. The first ground of appeal is therefore rejected.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The fourth ground charges the trial Judge with granting earnings without considering whether or not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the Respondent mitigated his loss. This need not detain us long. In fact the trial Judge considered the</w:t>
      </w:r>
      <w:r w:rsidR="00EF3205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aspect of mitigation of loss and said: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“It is . . . to be noted when the Plaintiff was forcibly removed from his business premises the building he was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supposed to move into, being one formerly occupied by the Regional Trading Co, was not by then fit as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business premises. It was in a 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>dilapidated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state . . . It is also to be born in mind that by seizing his trading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goods, the Plaintiff’s business capacity had thereby been brought to the ground. In the circumstances it is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most unreasonable to contend that the Plaintiff had not been stopped from carrying on with his business, when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he was practically so battered”.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We share in the observations of the Learned Judge. Perhaps it is only necessary to add that a Plaintiff is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only expected to take reasonable steps to mitigate his misfortunes and whether he has done so or not is a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question of fact rather than law which has to be judged in the peculiar circumstances of each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lastRenderedPageBreak/>
        <w:t>case. In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case before us, the Respondent could mitigate his loss by taking up occupation of the premises on plot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number 7/D and continuing his business there, but as the trial Judge remarks in the passage above,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neither of this was possible. There were no alternative premises to turn to, there were no goods to restart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 business with, and, it should not be forgotten, even his money was seized. In spite of all this,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Respondent in fact did seek to mitigate his loss. He set out early to claim, compensation or, if this failed,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to be allowed to sue; but for over 10 years he was not offered reasonable compensation and for the same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period he was refused the fiat to sue. Yet he was under no obligation to aggravate his already precarious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situation in order to mitigate the compensation payable by the Defendants. This case is testimony to such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 flagrant violation of the rule of law, wanton disregard of the individual’s rights, and abuse of power by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the officers of state that it is cynical and 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>unbefitting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to turn around and say that the Respondent did not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mitigate his loss. In the circumstances, we cannot fault the trial Judge in his decision to grant all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items of lost earnings. In fact they were modest and amounted to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3 100 per day, consisting 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500 from the shop,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1 000 from the bar,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450 from the restaurant and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1 150 from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lodgings. We reject the fourth ground as well.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The second ground questions the propriety of using the United States dollar as a yardstick in assessing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compensation for the purpose of making good the depreciation of the shilling.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Mwidunda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contended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that the practice of the courts in this country is to award reasonable compensation to cater for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devaluation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and charged that the method used by the trial Judge had resulted in an excessive award.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Lukwaro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saw nothing wrong with the use of the dollar and did not consider the award excessive.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The Respondent’s entitlement to be compensated for devaluation is not in dispute. This Court has on a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number of occasions taken the position that in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awarding compensation it is proper to take into account the fact of devaluation of our currency in order to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put the claimant in the position he was at the time of the wrong complained of: see for example </w:t>
      </w:r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NBC v</w:t>
      </w:r>
      <w:r w:rsidR="008805DA"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Perma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Shoe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Co [1988] TLR 224 and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Augustino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Mugabe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[1992] TLR 137. In deciding to award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compensation in the instant case the Learned trial Judge actually had that principle in mind for he spoke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of putting the Respondent “in as good a position as he would have been had his business not been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brought to a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stand still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”, and that the Respondent deserved to “be offered compensation that would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proximately enable him to put up another business of the kind that had been effectively wiped out”.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Respondent’s claims fell under five heads, that is, (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357 253 for goods seized, (ii)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94 800 in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cash and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cheques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seized, (iii)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114 400 being cost of modifications to the business premises, (iv)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3 100 in lost earnings, and (v)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13 000 as damages for false imprisonment and inconvenience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but which the trial Judge scaled down to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10 000 only. There is no controversy or reasonable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controversy over these basic claims which amounted to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579 553 as at 28 November 1978. In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assessing the compensation for devaluation, however, the trial Judge adopted a methodology which we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think attracts at least two criticisms.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The first criticism is that raised by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Mwidunda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: the Learned Judge purported to determine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Respondent’s exact entitlement by employing a multiplier derived from the exchange rates between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shilling and the dollar over the period 1979 to May 1995, the date of the judgment. As a result item (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>) in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the above paragraph yielded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185 414 304, item (ii) yielded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49 201 200, item (iii) yielded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59 373 600, item (</w:t>
      </w:r>
      <w:proofErr w:type="gram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iv</w:t>
      </w:r>
      <w:proofErr w:type="gram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) yielded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579 203 000, and item (v) yielded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5 190 900.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combined total came to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878,383,107 to which was added interest from the date of judgment to full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payment. The ridiculous nature of the result is self-evident. From a humble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579 553 the element of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compensation for devaluation came to over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878 million. The result was ridiculous because by no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stretch of imagination could the Respondent have made that amount in the 15 years considered by the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Learned Judge. It is obvious, therefore, that the methodology was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lastRenderedPageBreak/>
        <w:t>wrong. Indeed we are not aware of any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authority or precedent where the dollar was used to calculate judicial compensation for the purpose of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offsetting devaluation, although we are aware that our shilling is pegged to the dollar for the purpose of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financial transactions. But as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Mwidunda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argued, this Court and the High Court have on divers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occasions awarded what was considered a reasonable amount in the circumstances of each case. In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Perma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Shoe Co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(above) a Judge of the High Court awarded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50 000 and this Court upheld that sum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as “not excessive so as to warrant interference”, although the Judge did not show how he arrived at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figure. In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Augustino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(also above) this Court considered too high an award of 200% on the compensation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500 000 for non-use of a motor vehicle. The Court said: “We think a 50% rate is reasonable in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the circumstances of this case. Thus we allow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250 000 for the devaluation”. In the instant case,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therefore, the trial Judge misdirected himself in departing from the principle of reasonableness and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purporting to be scientific in a context which required a judicious decision only.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The second criticism is that even if the formula employed by the Judge were available in practice, but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we stress it is not, there was no evidence in this case to enable him to exploit that formula. No evidence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whatsoever was adduced regarding the exchange rates between 1979 and 1995. During the trial an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attempt was made to introduce a document showing rates of exchange for foreign transactions on 22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November 1978 but the document was not admitted in evidence because it was not certified by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originating bank. Thereafter no other attempt was made either to reintroduce this document or to adduce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other evidence on the whole of the period up to May 1995. It therefore remains a mystery where, when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and how the Learned Judge came by the exchange rates upon which he purported to rely. He states in his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judgment that “it has been possible to obtain exchange rates for the month of November 1978, December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1984, December 1989 and December 1994”, but since none of this is in the record of evidence, it is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reasonable to assume that he obtained that information otherwise than in the course of the trial. We think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that was improper. The decision of the Court can be founded only upon evidence adduced in court but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not on information privately obtained in the absence of the parties. It follows, therefore, that the award by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the Learned Judge based, as it was, on information from unknown sources, was a complete nullity and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deserves no further attention. We uphold the second ground of appeal.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Lastly, the third ground. It is contended here that the trial Judge erred in law by taking into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consideration devaluation and also awarding interest. It seems there is a misunderstanding. The award of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interest on the compensation for devaluation did not amount to double compensation for the same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element, rather the compensation, being the decretal sum, attracted interest for so long as it remained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unpaid. It is normal practice for the decretal amount to attract interest and the cure for it, indeed the cure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for any interest, is to pay up at once. Apart, perhaps, from the proliferation of interest in the judgment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generally, we are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otherwise not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persuased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that the Judge went wrong as such. The third ground is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therefore rejected.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We now set out what we consider the appropriate award in the case and in doing so we propose to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rationalise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the aspect of interest. Firstly, we uphold the principal sum 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576 453 awarded by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trial Judge. Second, we add to this sum compensation 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2 500 000 for devaluation over a period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ofsixteen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and half years at the rate of 25% pa rounded off to the nearest half a millionth. We wish to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emphasize that this approach to catering for devaluation is not intended to be general but serves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peculiar circumstances of this case. In each case, therefore, the concerned court should be guided by the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factors obtaining in determining the appropriate award.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Third, we grant lost earnings 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18 414 000 at the rate 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3 100 per day to the date of</w:t>
      </w:r>
      <w:r w:rsid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judgment. The three amounts add up to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TShs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21 490 453 and this will carry interest at the current bank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rate from the date of judgment, 18 May 1995, to full payment.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In sum, the appeal partly succeeds and partly fails; each party will bear its costs before this Court.</w:t>
      </w:r>
      <w:r w:rsidR="008805DA"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05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Kisanga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Mfalila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JJA concurred in the judgment of </w:t>
      </w:r>
      <w:proofErr w:type="spellStart"/>
      <w:r w:rsidRPr="008805DA">
        <w:rPr>
          <w:rFonts w:ascii="Times New Roman" w:hAnsi="Times New Roman" w:cs="Times New Roman"/>
          <w:color w:val="000000"/>
          <w:sz w:val="24"/>
          <w:szCs w:val="24"/>
        </w:rPr>
        <w:t>Lugakingira</w:t>
      </w:r>
      <w:proofErr w:type="spellEnd"/>
      <w:r w:rsidRPr="008805DA">
        <w:rPr>
          <w:rFonts w:ascii="Times New Roman" w:hAnsi="Times New Roman" w:cs="Times New Roman"/>
          <w:color w:val="000000"/>
          <w:sz w:val="24"/>
          <w:szCs w:val="24"/>
        </w:rPr>
        <w:t xml:space="preserve"> JA.)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lastRenderedPageBreak/>
        <w:t>For the Appellant:</w:t>
      </w:r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Mwidunda</w:t>
      </w:r>
      <w:proofErr w:type="spellEnd"/>
    </w:p>
    <w:p w:rsidR="00E53134" w:rsidRPr="008805DA" w:rsidRDefault="00E53134" w:rsidP="0088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5DA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3F18BF" w:rsidRPr="008805DA" w:rsidRDefault="00E53134" w:rsidP="008805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Mr</w:t>
      </w:r>
      <w:proofErr w:type="spellEnd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805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Lukwaro</w:t>
      </w:r>
      <w:proofErr w:type="spellEnd"/>
    </w:p>
    <w:sectPr w:rsidR="003F18BF" w:rsidRPr="008805DA" w:rsidSect="008805DA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34"/>
    <w:rsid w:val="003F18BF"/>
    <w:rsid w:val="008805DA"/>
    <w:rsid w:val="00B20C81"/>
    <w:rsid w:val="00E53134"/>
    <w:rsid w:val="00E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A97E8-51B3-40C7-90E4-C40D7CA1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3828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2018-07-05T11:14:00Z</dcterms:created>
  <dcterms:modified xsi:type="dcterms:W3CDTF">2018-07-09T19:33:00Z</dcterms:modified>
</cp:coreProperties>
</file>