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621" w:rsidRDefault="00FB6621" w:rsidP="00496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Aziz v Bhatia Brothers Ltd</w:t>
      </w:r>
    </w:p>
    <w:p w:rsidR="00FB6621" w:rsidRDefault="00FB6621" w:rsidP="00496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FB6621" w:rsidRDefault="00FB6621" w:rsidP="00496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18 June 1999</w:t>
      </w:r>
    </w:p>
    <w:p w:rsidR="00FB6621" w:rsidRDefault="00FB6621" w:rsidP="00496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1/99</w:t>
      </w:r>
    </w:p>
    <w:p w:rsidR="00FB6621" w:rsidRDefault="00FB6621" w:rsidP="00496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Nyalali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Cj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Samatta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Jja</w:t>
      </w:r>
      <w:proofErr w:type="spellEnd"/>
    </w:p>
    <w:p w:rsidR="00FB6621" w:rsidRDefault="00FB6621" w:rsidP="00496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 K Masha</w:t>
      </w:r>
    </w:p>
    <w:p w:rsidR="00FB6621" w:rsidRDefault="00FB6621" w:rsidP="00496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Revocation – Unilateral repudiation – Whether agreement of sale had been terminated by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mutual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consent.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Sale of land – Registered land – Agreement to sell – Lack of consent – Whether failure to obtain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consent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renders agreement void – Occupation of property – Title to property – Whether Respondent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entitled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possession of property – Remedies – </w:t>
      </w:r>
      <w:r>
        <w:rPr>
          <w:rFonts w:ascii="Times New Roman" w:hAnsi="Times New Roman" w:cs="Times New Roman"/>
          <w:color w:val="000000"/>
        </w:rPr>
        <w:t xml:space="preserve">Mesne </w:t>
      </w:r>
      <w:r>
        <w:rPr>
          <w:rFonts w:ascii="Times New Roman" w:hAnsi="Times New Roman" w:cs="Times New Roman"/>
          <w:i/>
          <w:iCs/>
          <w:color w:val="000000"/>
        </w:rPr>
        <w:t>profits – Whether Appellant in occupation of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property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illegally – Whether Respondent entitled to payment of </w:t>
      </w:r>
      <w:r>
        <w:rPr>
          <w:rFonts w:ascii="Times New Roman" w:hAnsi="Times New Roman" w:cs="Times New Roman"/>
          <w:color w:val="000000"/>
        </w:rPr>
        <w:t xml:space="preserve">mesne </w:t>
      </w:r>
      <w:r>
        <w:rPr>
          <w:rFonts w:ascii="Times New Roman" w:hAnsi="Times New Roman" w:cs="Times New Roman"/>
          <w:i/>
          <w:iCs/>
          <w:color w:val="000000"/>
        </w:rPr>
        <w:t>profits – Land Regulations 3 of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1960.</w:t>
      </w:r>
    </w:p>
    <w:p w:rsidR="00FB6621" w:rsidRDefault="00496A26" w:rsidP="00496A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NYALALI CJ, MFALILA, LUBUVA, SAMATTA AND LUGAKINGIRA JJA: </w:t>
      </w:r>
      <w:r>
        <w:rPr>
          <w:rFonts w:ascii="Times New Roman" w:hAnsi="Times New Roman" w:cs="Times New Roman"/>
          <w:color w:val="000000"/>
        </w:rPr>
        <w:t>By order dated 30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November 1998, a bench of three Justices of the Court of Appeal sitting as an ordinary court under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122(1) of the Constitution of the United Republic of Tanzania referred a matter of law for decision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same court sitting as a full bench of five Justices under article 118(1) of the same Constitution.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matter arose in civil appeal number 42 of 1995 between </w:t>
      </w:r>
      <w:proofErr w:type="spellStart"/>
      <w:r>
        <w:rPr>
          <w:rFonts w:ascii="Times New Roman" w:hAnsi="Times New Roman" w:cs="Times New Roman"/>
          <w:color w:val="000000"/>
        </w:rPr>
        <w:t>Abualy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Alibhai</w:t>
      </w:r>
      <w:proofErr w:type="spellEnd"/>
      <w:r>
        <w:rPr>
          <w:rFonts w:ascii="Times New Roman" w:hAnsi="Times New Roman" w:cs="Times New Roman"/>
          <w:color w:val="000000"/>
        </w:rPr>
        <w:t xml:space="preserve"> Aziz, Appellant, and Bhatia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Brothers Limited, Respondent. That order stated: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“After discussions between the Bench and the representatives of the parties, it is directed that the matter of the</w:t>
      </w:r>
      <w:r w:rsidR="00496A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legal effect of lack of consent to a sale of registered land be referred for decision by the full bench, as there</w:t>
      </w:r>
      <w:r w:rsidR="00496A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conflicting decisions by the Court on the issue, and that pending such decision by the full bench, the case</w:t>
      </w:r>
      <w:r w:rsidR="00496A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is stayed and will be fixed for continuation of hearing after such decision.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Amicus curiae </w:t>
      </w:r>
      <w:r>
        <w:rPr>
          <w:rFonts w:ascii="Times New Roman" w:hAnsi="Times New Roman" w:cs="Times New Roman"/>
          <w:color w:val="000000"/>
          <w:sz w:val="20"/>
          <w:szCs w:val="20"/>
        </w:rPr>
        <w:t>to be appointed”.</w:t>
      </w:r>
      <w:r w:rsidR="00496A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Obviously the Court followed this procedure in the light of what is stated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Poole v R </w:t>
      </w:r>
      <w:r>
        <w:rPr>
          <w:rFonts w:ascii="Times New Roman" w:hAnsi="Times New Roman" w:cs="Times New Roman"/>
          <w:color w:val="000000"/>
        </w:rPr>
        <w:t>[1960]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62, that is: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“A full Court of Appeal has no greater powers than a division of the court, but if it is to be contended that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there are grounds, upon which the court could act, for departing from a previous decision of the court, it is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obviously desirable that the matter should, if practicable, be considered by a bench of five Judges”.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in the proceedings before this Full Bench are the same as the parties in civil appeal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42 of 1995. As in that appeal currently pending in the court, the Appellant is represented in these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proceedings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Mustafa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proofErr w:type="spellEnd"/>
      <w:r>
        <w:rPr>
          <w:rFonts w:ascii="Times New Roman" w:hAnsi="Times New Roman" w:cs="Times New Roman"/>
          <w:color w:val="000000"/>
        </w:rPr>
        <w:t>, learned advocate. The Respondent, who is not represented by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in the pending appeal, is represented before us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Jadeja</w:t>
      </w:r>
      <w:proofErr w:type="spellEnd"/>
      <w:r>
        <w:rPr>
          <w:rFonts w:ascii="Times New Roman" w:hAnsi="Times New Roman" w:cs="Times New Roman"/>
          <w:color w:val="000000"/>
        </w:rPr>
        <w:t>, learned advocate. Pursuant to the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terms of the court order which initiated these proceedings, Professor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Fimbo</w:t>
      </w:r>
      <w:proofErr w:type="spellEnd"/>
      <w:r>
        <w:rPr>
          <w:rFonts w:ascii="Times New Roman" w:hAnsi="Times New Roman" w:cs="Times New Roman"/>
          <w:color w:val="000000"/>
        </w:rPr>
        <w:t>, learned advocate, was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appointed by the Court to be </w:t>
      </w:r>
      <w:r>
        <w:rPr>
          <w:rFonts w:ascii="Times New Roman" w:hAnsi="Times New Roman" w:cs="Times New Roman"/>
          <w:i/>
          <w:iCs/>
          <w:color w:val="000000"/>
        </w:rPr>
        <w:t>amicus curiae</w:t>
      </w:r>
      <w:r>
        <w:rPr>
          <w:rFonts w:ascii="Times New Roman" w:hAnsi="Times New Roman" w:cs="Times New Roman"/>
          <w:color w:val="000000"/>
        </w:rPr>
        <w:t>. We must at this stage express our profound appreciation for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industrious research made by all advocates in general, and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Jadeja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Professor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particular. As will presently be apparent, this extensive research has had a direct impact on the quality of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decision.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matter referred to us relates specifically to a conflict between the de-</w:t>
      </w:r>
      <w:proofErr w:type="spellStart"/>
      <w:r>
        <w:rPr>
          <w:rFonts w:ascii="Times New Roman" w:hAnsi="Times New Roman" w:cs="Times New Roman"/>
          <w:color w:val="000000"/>
        </w:rPr>
        <w:t>cision</w:t>
      </w:r>
      <w:proofErr w:type="spellEnd"/>
      <w:r>
        <w:rPr>
          <w:rFonts w:ascii="Times New Roman" w:hAnsi="Times New Roman" w:cs="Times New Roman"/>
          <w:color w:val="000000"/>
        </w:rPr>
        <w:t xml:space="preserve"> of this Court in the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r>
        <w:rPr>
          <w:rFonts w:ascii="Times New Roman" w:hAnsi="Times New Roman" w:cs="Times New Roman"/>
          <w:i/>
          <w:iCs/>
          <w:color w:val="000000"/>
        </w:rPr>
        <w:t xml:space="preserve">Nitin Coffee Estates Ltd and others v United Engineering Works Ltd and another </w:t>
      </w:r>
      <w:r>
        <w:rPr>
          <w:rFonts w:ascii="Times New Roman" w:hAnsi="Times New Roman" w:cs="Times New Roman"/>
          <w:color w:val="000000"/>
        </w:rPr>
        <w:t>[1988] TLR 203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decision of the same Court in the most recent case of </w:t>
      </w:r>
      <w:r>
        <w:rPr>
          <w:rFonts w:ascii="Times New Roman" w:hAnsi="Times New Roman" w:cs="Times New Roman"/>
          <w:i/>
          <w:iCs/>
          <w:color w:val="000000"/>
        </w:rPr>
        <w:t xml:space="preserve">George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Shambwe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National Printing Co</w:t>
      </w:r>
      <w:r w:rsidR="00496A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civil appeal number 19 of 1995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as elaborated upon both in the majority and dissenting opinions in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58 of 1995. Basically the conflict concerns the interpretation and application of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provisions requiring a contract for the sale of land to be approved or consented to by a specified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authority.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Professor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Fimbo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research has revealed a long history of these provisions. This history includes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6 of the British Mandate for East Africa, regulation 2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Land Regulations 1926; regulation 2 of the Land Regulations 1931; regulation 3 of the Land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1948; and regulation 3 of the Land Regulations 1960.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to precedents, the research by both Professor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Jadeja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 reveals a long history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judicial decisions on the status of a contract of sale which lacks the requisite consent. These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precedents include the following cases in their chronological order: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Mohamedbhai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Khanbhai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Bros v</w:t>
      </w:r>
      <w:r w:rsidR="00496A26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Mtoo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Binti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Tafakari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[1955] 22 EACA 84; </w:t>
      </w:r>
      <w:r>
        <w:rPr>
          <w:rFonts w:ascii="Times New Roman" w:hAnsi="Times New Roman" w:cs="Times New Roman"/>
          <w:i/>
          <w:iCs/>
          <w:color w:val="000000"/>
        </w:rPr>
        <w:t>Patterson and another v Kanji and</w:t>
      </w:r>
      <w:r w:rsidR="00496A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another </w:t>
      </w:r>
      <w:r>
        <w:rPr>
          <w:rFonts w:ascii="Times New Roman" w:hAnsi="Times New Roman" w:cs="Times New Roman"/>
          <w:color w:val="000000"/>
        </w:rPr>
        <w:t xml:space="preserve">[1956] EACA 106; </w:t>
      </w:r>
      <w:r>
        <w:rPr>
          <w:rFonts w:ascii="Times New Roman" w:hAnsi="Times New Roman" w:cs="Times New Roman"/>
          <w:i/>
          <w:iCs/>
          <w:color w:val="000000"/>
        </w:rPr>
        <w:t xml:space="preserve">Manji v Begum </w:t>
      </w:r>
      <w:r>
        <w:rPr>
          <w:rFonts w:ascii="Times New Roman" w:hAnsi="Times New Roman" w:cs="Times New Roman"/>
          <w:color w:val="000000"/>
        </w:rPr>
        <w:t xml:space="preserve">[1957] EA 101; </w:t>
      </w:r>
      <w:r>
        <w:rPr>
          <w:rFonts w:ascii="Times New Roman" w:hAnsi="Times New Roman" w:cs="Times New Roman"/>
          <w:i/>
          <w:iCs/>
          <w:color w:val="000000"/>
        </w:rPr>
        <w:t xml:space="preserve">Patel v Lawrenson and another </w:t>
      </w:r>
      <w:r>
        <w:rPr>
          <w:rFonts w:ascii="Times New Roman" w:hAnsi="Times New Roman" w:cs="Times New Roman"/>
          <w:color w:val="000000"/>
        </w:rPr>
        <w:t>[1957] EA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249;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Fazal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(Mills)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Phoneas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[1968] EA 563;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Rwekanika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[1974] LRT 30;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Nyagwaswa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Nyirabu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[1985] TLR 103; </w:t>
      </w:r>
      <w:r>
        <w:rPr>
          <w:rFonts w:ascii="Times New Roman" w:hAnsi="Times New Roman" w:cs="Times New Roman"/>
          <w:i/>
          <w:iCs/>
          <w:color w:val="000000"/>
        </w:rPr>
        <w:t>Nitin Coffee Estates Limited and others v United Engineering</w:t>
      </w:r>
      <w:r w:rsidR="00496A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Works Limited and another </w:t>
      </w:r>
      <w:r>
        <w:rPr>
          <w:rFonts w:ascii="Times New Roman" w:hAnsi="Times New Roman" w:cs="Times New Roman"/>
          <w:color w:val="000000"/>
        </w:rPr>
        <w:t xml:space="preserve">[1988] TLR 203;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Longoi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Kivuyo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[1988] TLR 263;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496A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v Attorney-General </w:t>
      </w: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and others </w:t>
      </w:r>
      <w:r>
        <w:rPr>
          <w:rFonts w:ascii="Times New Roman" w:hAnsi="Times New Roman" w:cs="Times New Roman"/>
          <w:color w:val="000000"/>
        </w:rPr>
        <w:t xml:space="preserve">civil appeal number 3 of 1988 (not yet reported);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Humba</w:t>
      </w:r>
      <w:proofErr w:type="spellEnd"/>
      <w:r w:rsidR="00496A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35 of 1990 (not yet reported);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Shambwe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National Printing Co Limited </w:t>
      </w:r>
      <w:r>
        <w:rPr>
          <w:rFonts w:ascii="Times New Roman" w:hAnsi="Times New Roman" w:cs="Times New Roman"/>
          <w:color w:val="000000"/>
        </w:rPr>
        <w:t>civil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number 19 of 1995 (not yet reported)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relevant statutory provisions which are pertinent to civil appeal number 42 of 1995 currently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before three Justices of this Court, and which is the origin of these proceedings before us, are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in regulation 3(1) to (3) of the Land Regulations 1960. These state as follows:</w:t>
      </w:r>
      <w:r w:rsidR="00496A26">
        <w:rPr>
          <w:rFonts w:ascii="Times New Roman" w:hAnsi="Times New Roman" w:cs="Times New Roman"/>
          <w:color w:val="000000"/>
        </w:rPr>
        <w:t xml:space="preserve"> 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“3(1) A disposition of a right of occupancy shall not be operative unless it is in writing and unless and until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it is approved by the Governor.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(2) In this regulation ‘disposition’ means: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( </w:t>
      </w:r>
      <w:r w:rsidRPr="00496A2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) A conveyance or assignment other than by way of mortgage, or a gift, settlement, deed of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partition, assent, vesting declaration, or a sale in ex-</w:t>
      </w:r>
      <w:proofErr w:type="spellStart"/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ecution</w:t>
      </w:r>
      <w:proofErr w:type="spellEnd"/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of an order of court;</w:t>
      </w:r>
    </w:p>
    <w:p w:rsidR="00FB6621" w:rsidRPr="00496A26" w:rsidRDefault="00496A26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(b</w:t>
      </w:r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)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A</w:t>
      </w:r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mortgage other than:</w:t>
      </w:r>
    </w:p>
    <w:p w:rsidR="00FB6621" w:rsidRPr="00496A26" w:rsidRDefault="00496A26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color w:val="000000"/>
          <w:sz w:val="20"/>
          <w:szCs w:val="20"/>
        </w:rPr>
        <w:t>) An</w:t>
      </w:r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equitable mortgage by deposit of title deeds; or</w:t>
      </w:r>
    </w:p>
    <w:p w:rsidR="00FB6621" w:rsidRPr="00496A26" w:rsidRDefault="00496A26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(ii</w:t>
      </w:r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) </w:t>
      </w:r>
      <w:proofErr w:type="gramStart"/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>a</w:t>
      </w:r>
      <w:proofErr w:type="gramEnd"/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mortgage which by law is only effectual if registered in the register of documents or the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>land register;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( </w:t>
      </w:r>
      <w:r w:rsidRPr="00496A2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) a deed or agreement or declaration of trust binding any party thereto to make any such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disposition as aforesaid, including a deed or agreement entitling a party thereto to require any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such disposition to be made;</w:t>
      </w:r>
    </w:p>
    <w:p w:rsidR="00FB6621" w:rsidRPr="00496A26" w:rsidRDefault="00496A26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(d</w:t>
      </w:r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) </w:t>
      </w:r>
      <w:proofErr w:type="gramStart"/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>a</w:t>
      </w:r>
      <w:proofErr w:type="gramEnd"/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decree of foreclosure of a mortgage”.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arguments for the Appellant, which have been very ably put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proofErr w:type="spellEnd"/>
      <w:r>
        <w:rPr>
          <w:rFonts w:ascii="Times New Roman" w:hAnsi="Times New Roman" w:cs="Times New Roman"/>
          <w:color w:val="000000"/>
        </w:rPr>
        <w:t>, learned advocate, are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effect that non-compliance with the provisions of regulation 3 of the Land Regulations 1960 does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render such contract void.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cited the provisions of subsection (2) of section 2 of the Law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Contract Ordinance Chapter 433 of the Revised Laws in support of that position. That subsection (2)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states: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“(2) Notwithstanding the provisions of paragraph (</w:t>
      </w:r>
      <w:r w:rsidRPr="00496A26"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) or ( </w:t>
      </w:r>
      <w:r w:rsidRPr="00496A26">
        <w:rPr>
          <w:rFonts w:ascii="Times New Roman" w:hAnsi="Times New Roman" w:cs="Times New Roman"/>
          <w:i/>
          <w:iCs/>
          <w:color w:val="000000"/>
          <w:sz w:val="20"/>
          <w:szCs w:val="20"/>
        </w:rPr>
        <w:t>j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) of subsection (1) of this section, where any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written law in force in Tanganyika on the date when this ordinance comes into operation provides that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an agreement (howsoever described), of the kind specified therein, shall not be enforceable by action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unless or until certain requirements specified therein are complied with, or certain consents are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obtained, no such agreement shall be void by reason only that it is not enforceable by action under the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provisions of that law for want of compliance with any such requirement or the obtaining of any such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consent”.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provisions of paragraphs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g</w:t>
      </w:r>
      <w:proofErr w:type="gramEnd"/>
      <w:r>
        <w:rPr>
          <w:rFonts w:ascii="Times New Roman" w:hAnsi="Times New Roman" w:cs="Times New Roman"/>
          <w:color w:val="000000"/>
        </w:rPr>
        <w:t xml:space="preserve">) and ( </w:t>
      </w: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r>
        <w:rPr>
          <w:rFonts w:ascii="Times New Roman" w:hAnsi="Times New Roman" w:cs="Times New Roman"/>
          <w:color w:val="000000"/>
        </w:rPr>
        <w:t>) referred to under subsection (2) state as follows:</w:t>
      </w:r>
    </w:p>
    <w:p w:rsidR="00FB6621" w:rsidRPr="00496A26" w:rsidRDefault="00496A26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“(</w:t>
      </w:r>
      <w:r w:rsidR="00FB6621" w:rsidRPr="00496A26"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) </w:t>
      </w:r>
      <w:proofErr w:type="gramStart"/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>an</w:t>
      </w:r>
      <w:proofErr w:type="gramEnd"/>
      <w:r w:rsidR="00FB6621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agreement not enforceable by law is said to be void”;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</w:t>
      </w:r>
      <w:proofErr w:type="gramStart"/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( </w:t>
      </w:r>
      <w:r w:rsidRPr="00496A26">
        <w:rPr>
          <w:rFonts w:ascii="Times New Roman" w:hAnsi="Times New Roman" w:cs="Times New Roman"/>
          <w:i/>
          <w:iCs/>
          <w:color w:val="000000"/>
          <w:sz w:val="20"/>
          <w:szCs w:val="20"/>
        </w:rPr>
        <w:t>j</w:t>
      </w:r>
      <w:proofErr w:type="gramEnd"/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) a contract which ceases to be enforceable by law becomes void when it ceases to be enforceable”.</w:t>
      </w:r>
    </w:p>
    <w:p w:rsid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in effect that the words “shall not be operative” contained in </w:t>
      </w:r>
      <w:proofErr w:type="spellStart"/>
      <w:r>
        <w:rPr>
          <w:rFonts w:ascii="Times New Roman" w:hAnsi="Times New Roman" w:cs="Times New Roman"/>
          <w:color w:val="000000"/>
        </w:rPr>
        <w:t>subregulation</w:t>
      </w:r>
      <w:proofErr w:type="spellEnd"/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of regulation 3 cannot be construed to mean “shall be void”, because such a construction would be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the express provisions of subsection (2) of section 2 of the Law of Contract Ordinance. It is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that the cases decided prior to 1960 are </w:t>
      </w:r>
      <w:proofErr w:type="spellStart"/>
      <w:r>
        <w:rPr>
          <w:rFonts w:ascii="Times New Roman" w:hAnsi="Times New Roman" w:cs="Times New Roman"/>
          <w:color w:val="000000"/>
        </w:rPr>
        <w:t>rel-evant</w:t>
      </w:r>
      <w:proofErr w:type="spellEnd"/>
      <w:r>
        <w:rPr>
          <w:rFonts w:ascii="Times New Roman" w:hAnsi="Times New Roman" w:cs="Times New Roman"/>
          <w:color w:val="000000"/>
        </w:rPr>
        <w:t xml:space="preserve"> only to that period,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not thereafter. According to him, a transaction falling within the steps of regulation 3 is valid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notwithstanding the failure to comply with the requirements of subsections (1) to (3).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that extent,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Jadeja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Professor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concur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Jadeja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Professor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 part company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submitting to the effect that such contract, though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valid, is inoperative by virtue of </w:t>
      </w:r>
      <w:proofErr w:type="spellStart"/>
      <w:r>
        <w:rPr>
          <w:rFonts w:ascii="Times New Roman" w:hAnsi="Times New Roman" w:cs="Times New Roman"/>
          <w:color w:val="000000"/>
        </w:rPr>
        <w:t>subregulation</w:t>
      </w:r>
      <w:proofErr w:type="spellEnd"/>
      <w:r>
        <w:rPr>
          <w:rFonts w:ascii="Times New Roman" w:hAnsi="Times New Roman" w:cs="Times New Roman"/>
          <w:color w:val="000000"/>
        </w:rPr>
        <w:t xml:space="preserve"> (1) of regulation 3.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closely examined and considered the more than ample precedents cited to us by counsel.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These precedents appear to fall into three broad </w:t>
      </w:r>
      <w:proofErr w:type="spellStart"/>
      <w:r>
        <w:rPr>
          <w:rFonts w:ascii="Times New Roman" w:hAnsi="Times New Roman" w:cs="Times New Roman"/>
          <w:color w:val="000000"/>
        </w:rPr>
        <w:t>categor-ies</w:t>
      </w:r>
      <w:proofErr w:type="spellEnd"/>
      <w:r>
        <w:rPr>
          <w:rFonts w:ascii="Times New Roman" w:hAnsi="Times New Roman" w:cs="Times New Roman"/>
          <w:color w:val="000000"/>
        </w:rPr>
        <w:t>. The first category consists of cases in which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judicial decision is to the effect that a transaction which does not fulfill the requisite conditions is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void in totality. Such cases include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Manji v Begum </w:t>
      </w:r>
      <w:r>
        <w:rPr>
          <w:rFonts w:ascii="Times New Roman" w:hAnsi="Times New Roman" w:cs="Times New Roman"/>
          <w:color w:val="000000"/>
        </w:rPr>
        <w:t>[1957] EA 101, wherein it was stated:</w:t>
      </w:r>
      <w:r w:rsidR="00496A26">
        <w:rPr>
          <w:rFonts w:ascii="Times New Roman" w:hAnsi="Times New Roman" w:cs="Times New Roman"/>
          <w:color w:val="000000"/>
        </w:rPr>
        <w:t xml:space="preserve"> 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“In our view, it is quite clear that the Governor’s consent to the agreement has never been obtained for on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each occasion there was a substantial </w:t>
      </w:r>
      <w:proofErr w:type="spellStart"/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mis</w:t>
      </w:r>
      <w:proofErr w:type="spellEnd"/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>-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description of its subject matter and also a failure to submit for the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Governor’s consideration the agreement as a whole”.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think that the </w:t>
      </w:r>
      <w:r w:rsidR="00496A26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correctly held that the agreement was prohibited by law and was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therefore </w:t>
      </w:r>
      <w:r>
        <w:rPr>
          <w:rFonts w:ascii="Times New Roman" w:hAnsi="Times New Roman" w:cs="Times New Roman"/>
          <w:i/>
          <w:iCs/>
          <w:color w:val="000000"/>
        </w:rPr>
        <w:t>void ab initio</w:t>
      </w:r>
      <w:r>
        <w:rPr>
          <w:rFonts w:ascii="Times New Roman" w:hAnsi="Times New Roman" w:cs="Times New Roman"/>
          <w:color w:val="000000"/>
        </w:rPr>
        <w:t>. That being so, nothing done subsequently could convert it into an enforceable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contract. Similarly in the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Fazal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(Mills)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[1960] EA 1042 it was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stated: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alleged agreement that the First Defendant should not mortgage his right of occupancy to the Plaintiff</w:t>
      </w:r>
      <w:r w:rsidR="00496A26">
        <w:rPr>
          <w:rFonts w:ascii="Times New Roman" w:hAnsi="Times New Roman" w:cs="Times New Roman"/>
          <w:color w:val="000000"/>
          <w:sz w:val="20"/>
          <w:szCs w:val="20"/>
        </w:rPr>
        <w:t xml:space="preserve"> Company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was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void ab initio </w:t>
      </w:r>
      <w:r>
        <w:rPr>
          <w:rFonts w:ascii="Times New Roman" w:hAnsi="Times New Roman" w:cs="Times New Roman"/>
          <w:color w:val="000000"/>
          <w:sz w:val="20"/>
          <w:szCs w:val="20"/>
        </w:rPr>
        <w:t>for want of writing and for want of the Governor’s consent, and this Court has no</w:t>
      </w:r>
      <w:r w:rsidR="00496A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 to order specific performance of that agreement. In my opinion it would make no difference if fraud</w:t>
      </w:r>
      <w:r w:rsidR="00496A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proved against the First Defendant. The Plaintiff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must be assumed to have known the law”.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Undoubtedly, these cases were decided before the Law of Contract Ordinance, hence subsection (2) of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 therein, had not come into being in this country. The position however was essentially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reaffirmed in subsequent decisions, including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Patel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Marealle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[1984] TLR 31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it was </w:t>
      </w:r>
      <w:r>
        <w:rPr>
          <w:rFonts w:ascii="Times New Roman" w:hAnsi="Times New Roman" w:cs="Times New Roman"/>
          <w:color w:val="000000"/>
        </w:rPr>
        <w:lastRenderedPageBreak/>
        <w:t>stated: “We are of the view that the agreement is void and since the trial Judge has based his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entirely on a void agreement, his judgment is vitiated as it is based on a fundamental flaw”.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similar position is to be found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Nyagwaswa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Nyirabu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[1985] TLR 103, where it was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stated: “I am of the view that the sale by Patrick to the Appellant of the land in </w:t>
      </w:r>
      <w:proofErr w:type="spellStart"/>
      <w:r>
        <w:rPr>
          <w:rFonts w:ascii="Times New Roman" w:hAnsi="Times New Roman" w:cs="Times New Roman"/>
          <w:color w:val="000000"/>
        </w:rPr>
        <w:t>Mbezi</w:t>
      </w:r>
      <w:proofErr w:type="spellEnd"/>
      <w:r>
        <w:rPr>
          <w:rFonts w:ascii="Times New Roman" w:hAnsi="Times New Roman" w:cs="Times New Roman"/>
          <w:color w:val="000000"/>
        </w:rPr>
        <w:t xml:space="preserve"> was void and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ineffectual as it took place without the approval of the village council . . .</w:t>
      </w:r>
      <w:proofErr w:type="gramStart"/>
      <w:r>
        <w:rPr>
          <w:rFonts w:ascii="Times New Roman" w:hAnsi="Times New Roman" w:cs="Times New Roman"/>
          <w:color w:val="000000"/>
        </w:rPr>
        <w:t>”.</w:t>
      </w:r>
      <w:proofErr w:type="gramEnd"/>
      <w:r>
        <w:rPr>
          <w:rFonts w:ascii="Times New Roman" w:hAnsi="Times New Roman" w:cs="Times New Roman"/>
          <w:color w:val="000000"/>
        </w:rPr>
        <w:t xml:space="preserve"> These cases of course do not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purport to interpret the specific expressions used in regulation 3(1) to (3) of the Land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1960. To that extent, they are not very helpful to us apart from being part of the framework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which we must make our decision.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category of cases are those in which it was decided to the effect that a transaction which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comply with the requisite conditions is inoperative only as to change of title, otherwise, it is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operative. Such cases include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Mlay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Phoneas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[1968] EA 563 wherein it was stated: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“In my opinion a distinction must be drawn between those terms of the agreement which concern the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disposition and those which are collateral to it so that while the former may be inoperative, the later remain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operative and can be enforced in the event of the Commissioner failing or refusing to give consent, of course,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if the Commissioner merely fails to give consent it may be that a new agreement can be drawn up and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resubmitted to him”.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case gives an indication of the meaning that may be attached to the word “inoperative” used in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 (3). By using the expression that, “the latter remain operative and can be enforced” a clear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indication of the meaning of the opposite, that is the meaning of “inoperative” may be surmised as being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“unenforceable”.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second case in this category is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Patterson and another v Kanji and another </w:t>
      </w:r>
      <w:r>
        <w:rPr>
          <w:rFonts w:ascii="Times New Roman" w:hAnsi="Times New Roman" w:cs="Times New Roman"/>
          <w:color w:val="000000"/>
        </w:rPr>
        <w:t>[1956]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EACA 106 wherein it was stated: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“I do not think the Respondent can get assistance from the variation in the wording of the 1926 and 1948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Regulations . . . How far the present regulation nullifies a dealing which is not subsequently approved may be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a matter of argument. Such a transaction may still be valid for some purposes for example if there are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collateral undertakings. But at least it is clear that without approval no dealing can operate to effect a sale or</w:t>
      </w:r>
      <w:r w:rsid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mortgage or to create a charge or a sublease”.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case it significant in its pronouncement to the effect that a transaction which does not comply with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requisite conditions is not totally devoid of legal effect but, may still be valid for some purposes, for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example if there are collateral undertakings.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position that a transaction which does not comply with the statutory conditions is not necessary</w:t>
      </w:r>
      <w:r w:rsidR="00496A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devoid of any legal effect had of course been stated the year before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Alladitta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Abdalla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Bin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Salim and others </w:t>
      </w:r>
      <w:r>
        <w:rPr>
          <w:rFonts w:ascii="Times New Roman" w:hAnsi="Times New Roman" w:cs="Times New Roman"/>
          <w:color w:val="000000"/>
        </w:rPr>
        <w:t>[1955] wherein it was stated:</w:t>
      </w:r>
    </w:p>
    <w:p w:rsidR="00FB6621" w:rsidRPr="00496A26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“The question whether the agreement is wholly inoperative, or operative to the limited extent suggested, must,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we think depend on, whether its terms are severable, so as to create an independent and absolute preliminary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obligation to covey, which is conditional on the Governor’s consent. We are far from saying that such an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agreement could not be lawfully and effectively made, though it seems unlikely that it would be specifically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enforced and it is difficult to see what damages could be proved on its breach; but however that may be we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think this is not such an agreement. There is no express undertaking to do either of the things contended for.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At best a duty to do them may be implied. There is no separate or severable consideration for the promises</w:t>
      </w:r>
      <w:r w:rsidR="00496A26" w:rsidRPr="00496A26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which are said to be severable . . .</w:t>
      </w:r>
      <w:proofErr w:type="gramStart"/>
      <w:r w:rsidRPr="00496A26">
        <w:rPr>
          <w:rFonts w:ascii="Times New Roman" w:hAnsi="Times New Roman" w:cs="Times New Roman"/>
          <w:i/>
          <w:color w:val="000000"/>
          <w:sz w:val="20"/>
          <w:szCs w:val="20"/>
        </w:rPr>
        <w:t>”.</w:t>
      </w:r>
      <w:proofErr w:type="gramEnd"/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significance of the decision in this case lies of course in the pronouncement to the effect that an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which does not comply with the statutory conditions may be partly inoperative and partly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operative depending on the nature of the agreement.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fourth case in this second category of cases 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Rwekanika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[1974] EA 318 wherein it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stated:</w:t>
      </w:r>
    </w:p>
    <w:p w:rsidR="00FB6621" w:rsidRPr="005A1685" w:rsidRDefault="005C6475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FB6621" w:rsidRPr="005A1685">
        <w:rPr>
          <w:rFonts w:ascii="Times New Roman" w:hAnsi="Times New Roman" w:cs="Times New Roman"/>
          <w:i/>
          <w:color w:val="000000"/>
          <w:sz w:val="20"/>
          <w:szCs w:val="20"/>
        </w:rPr>
        <w:t>“I think regulation 3 of the Land Regulations 1948 may be abused by unscrupulous sellers. I think regulation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FB6621" w:rsidRPr="005A1685">
        <w:rPr>
          <w:rFonts w:ascii="Times New Roman" w:hAnsi="Times New Roman" w:cs="Times New Roman"/>
          <w:i/>
          <w:color w:val="000000"/>
          <w:sz w:val="20"/>
          <w:szCs w:val="20"/>
        </w:rPr>
        <w:t>3 is applicable only to situation where the President’s consent has been sought and refused. A contract of sale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FB6621" w:rsidRPr="005A1685">
        <w:rPr>
          <w:rFonts w:ascii="Times New Roman" w:hAnsi="Times New Roman" w:cs="Times New Roman"/>
          <w:i/>
          <w:color w:val="000000"/>
          <w:sz w:val="20"/>
          <w:szCs w:val="20"/>
        </w:rPr>
        <w:t>is not contemplated by regulation 3. This regulation refers to dispositions which are defined . . . to mean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FB6621" w:rsidRPr="005A1685">
        <w:rPr>
          <w:rFonts w:ascii="Times New Roman" w:hAnsi="Times New Roman" w:cs="Times New Roman"/>
          <w:i/>
          <w:color w:val="000000"/>
          <w:sz w:val="20"/>
          <w:szCs w:val="20"/>
        </w:rPr>
        <w:t>conveyances or assignments. A contract of sale is neither of these . . .</w:t>
      </w:r>
      <w:proofErr w:type="gramStart"/>
      <w:r w:rsidR="00FB6621" w:rsidRPr="005A1685">
        <w:rPr>
          <w:rFonts w:ascii="Times New Roman" w:hAnsi="Times New Roman" w:cs="Times New Roman"/>
          <w:i/>
          <w:color w:val="000000"/>
          <w:sz w:val="20"/>
          <w:szCs w:val="20"/>
        </w:rPr>
        <w:t>”.</w:t>
      </w:r>
      <w:proofErr w:type="gramEnd"/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decision in this case was of course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extent that it excluded contracts from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scope of regulation 3, as correctly pointed out by this 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Nitin Coffee Estate </w:t>
      </w:r>
      <w:r>
        <w:rPr>
          <w:rFonts w:ascii="Times New Roman" w:hAnsi="Times New Roman" w:cs="Times New Roman"/>
          <w:color w:val="000000"/>
        </w:rPr>
        <w:t>case. However,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significance of this case in the history of judicial decisions relevant to the matter before us is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pronouncement therein that: “I think regulation 3 is applicable only to situations where the President’s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consent has been sought and refused . . . the lack of consent is only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an action for specific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performance or damages, but cannot be a reason for holding the agreement to sell void”.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other case in this category is the recent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Shambwe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National Printing Co Limited </w:t>
      </w:r>
      <w:r>
        <w:rPr>
          <w:rFonts w:ascii="Times New Roman" w:hAnsi="Times New Roman" w:cs="Times New Roman"/>
          <w:color w:val="000000"/>
        </w:rPr>
        <w:t>civil appeal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19 of 1995 (not yet reported) wherein it was stated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“With respect, we are unable to accept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Semgalawe’s argument that there was no binding agreement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because the Commissioner for Lands had not sanctioned the sale transaction. We agree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Semgalawe’s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statement that under the Land </w:t>
      </w:r>
      <w:r w:rsidR="005A1685">
        <w:rPr>
          <w:rFonts w:ascii="Times New Roman" w:hAnsi="Times New Roman" w:cs="Times New Roman"/>
          <w:color w:val="000000"/>
          <w:sz w:val="20"/>
          <w:szCs w:val="20"/>
        </w:rPr>
        <w:t>Regulations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1948, the sale agreement was inoperative, as the correct position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law on this point”.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though that is the position of the law on this point, we wish to make it clear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Semgalawe, learned counsel, is not, with respect, correct in his assertion that because the approval of the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Commissioner was not forthcoming there was therefore no agreement for sale between the Appellant and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 The Learned trial Judge correctly in our view took the view that the Appellant,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vendor, was in breach of the agreement even though the approval of the Commissioner had not been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obtained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found by the Learned trial Judge, it was at the stage when the Appellant was required to execute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sale agreement that he refused to sign the document. With this refusal to sign, nothing further could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done in executing the agreement. As a result, the approval of the Commissioner could not be obtained.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that reason, we agree with the </w:t>
      </w:r>
      <w:r w:rsidR="005C6475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that the Appellant was in breach of the sale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reached between him and the Respondent, the buyer. Having breached the agreement in these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the Appellant cannot validly resort to regulation 3(1) of the Land Regulations 1948 in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the relief sought at the trial was a declaratory judgment that the agreement was inoperative and as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no counterclaim filed by the Respondent for specific performance or damages the </w:t>
      </w:r>
      <w:r w:rsidR="005C6475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correctly made no further orders. The Respondent having spent sums of money towards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redemption of the mortgage and other liabilities of the Appellant, the matter is left open for further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 and execution of the documents in order to effect the transfer in terms of the law.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decision was subsequently confirmed in a majority opinion in civil application number 58 of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1995 between the same parties. In a dissenting opinion,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 JA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 “As I have said,</w:t>
      </w:r>
    </w:p>
    <w:p w:rsidR="00FB6621" w:rsidRPr="005C6475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would have no difficulty to refuse this application for review if </w:t>
      </w:r>
      <w:r>
        <w:rPr>
          <w:rFonts w:ascii="Times New Roman" w:hAnsi="Times New Roman" w:cs="Times New Roman"/>
          <w:i/>
          <w:iCs/>
          <w:color w:val="000000"/>
        </w:rPr>
        <w:t xml:space="preserve">Nitin </w:t>
      </w:r>
      <w:r>
        <w:rPr>
          <w:rFonts w:ascii="Times New Roman" w:hAnsi="Times New Roman" w:cs="Times New Roman"/>
          <w:color w:val="000000"/>
        </w:rPr>
        <w:t>had been distinguished or even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departed from as being bad law. Since neither was done, and in fact </w:t>
      </w:r>
      <w:r>
        <w:rPr>
          <w:rFonts w:ascii="Times New Roman" w:hAnsi="Times New Roman" w:cs="Times New Roman"/>
          <w:i/>
          <w:iCs/>
          <w:color w:val="000000"/>
        </w:rPr>
        <w:t xml:space="preserve">Nitin </w:t>
      </w:r>
      <w:r>
        <w:rPr>
          <w:rFonts w:ascii="Times New Roman" w:hAnsi="Times New Roman" w:cs="Times New Roman"/>
          <w:color w:val="000000"/>
        </w:rPr>
        <w:t>was not even mentioned in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judgment, despite the fact that it was cited to the court, then the decision was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>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significance of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Shambwe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both in the appeal and in the application for review,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 statement to the effect that the contract of sale was binding between the parties, notwithstanding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lack of the requisite consent. The decision however is unclear as to its effect upon the Commissioner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Lands. If the decision meant that the binding contract between the parties obliged the Commissioner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consent to the disposition, then, for the reasons apparent hereinafter, such a decision would be wrong.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third and last category of cases is that in which it was decided to the effect that a transaction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does not comply with the statutory conditions is inoperative and unenforceable. Such cases include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Khanbhai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Bro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Tafakari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[1953] TLR 433 wherein it was stated:</w:t>
      </w:r>
    </w:p>
    <w:p w:rsidR="00FB6621" w:rsidRPr="005A1685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“In my judgment the Plaintiff cannot succeed in the absence of the Governor’s approval to the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transaction . . . section 11 of the Law of Property and Conveyancing Ordinance 1923 provides that such a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disposition shall not be operative unless it is in writing and unless and until it is approved by the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Governor . . . The Plaintiffs have not fulfilled the condition precedent to their right to enforce the conveyance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and in the absence of the performance of the condition, apart from any other consideration, the court is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powerless to give effect to the transaction”.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significance of this decision lies in the clarity in which it explains the helplessness of the court in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providing relief to an aggrieved party. It is clear according to this case that an inoperative transaction is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wholly unenforceable.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second case under this category is </w:t>
      </w:r>
      <w:r>
        <w:rPr>
          <w:rFonts w:ascii="Times New Roman" w:hAnsi="Times New Roman" w:cs="Times New Roman"/>
          <w:i/>
          <w:iCs/>
          <w:color w:val="000000"/>
        </w:rPr>
        <w:t xml:space="preserve">Patel v Lawrenson and another </w:t>
      </w:r>
      <w:r>
        <w:rPr>
          <w:rFonts w:ascii="Times New Roman" w:hAnsi="Times New Roman" w:cs="Times New Roman"/>
          <w:color w:val="000000"/>
        </w:rPr>
        <w:t>[1957] EA 249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wherein it was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that:</w:t>
      </w:r>
    </w:p>
    <w:p w:rsidR="00FB6621" w:rsidRPr="005A1685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“I am satisfied the whole agreement is inoperative because of a lack of approval and that being so this Court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is precluded from enforcing any part of the agreement. It is wrong to suppose that any position in which the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Appellant finds himself could be rendered by an order for specific performance up to the stage of the First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Respondent executing a transfer of the right of occupancy to see whether or not approval could now be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obtained. That in effect, would be for this Court to defy the law by ordering dealing without approval in</w:t>
      </w:r>
      <w:r w:rsidR="005C647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pursuance of an agreement which itself is inoperative”.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significance of this case is that it is the strongest voice against the enforcement of any part and any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stage of a transaction which does not comply with the statutory conditions.</w:t>
      </w:r>
    </w:p>
    <w:p w:rsidR="00FB6621" w:rsidRPr="005C6475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third case within this category is the famous case of </w:t>
      </w:r>
      <w:r>
        <w:rPr>
          <w:rFonts w:ascii="Times New Roman" w:hAnsi="Times New Roman" w:cs="Times New Roman"/>
          <w:i/>
          <w:iCs/>
          <w:color w:val="000000"/>
        </w:rPr>
        <w:t>Nitin Coffee Estates and others v United</w:t>
      </w:r>
      <w:r w:rsidR="005C64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Engineering Works Ltd and another </w:t>
      </w:r>
      <w:r>
        <w:rPr>
          <w:rFonts w:ascii="Times New Roman" w:hAnsi="Times New Roman" w:cs="Times New Roman"/>
          <w:color w:val="000000"/>
        </w:rPr>
        <w:t>[1988] TLR 203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wherein it was stated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that, “In my view</w:t>
      </w:r>
      <w:r w:rsidR="005C64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oral agreement of the type sued on to sell land held under a right of occupancy is inoperative and of no</w:t>
      </w:r>
      <w:r w:rsidR="005C647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effect”. There is a long line of authority to that effect.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Marando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Respondents submitted that there is some confusion on this matter in the High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Court. He referred to a High Court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Rwekanika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[1974] LRT 30.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J in that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purported to distinguish it from </w:t>
      </w:r>
      <w:r>
        <w:rPr>
          <w:rFonts w:ascii="Times New Roman" w:hAnsi="Times New Roman" w:cs="Times New Roman"/>
          <w:i/>
          <w:iCs/>
          <w:color w:val="000000"/>
        </w:rPr>
        <w:t xml:space="preserve">Patterson v Kanji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stated: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think that Regulation 3 of the Land Regulations 1948 may be abused by unscrupulous sellers. I think that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regulation 3 is applicable to only situations where the President’s consent has been sought and refused . . . a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 of sale is not contemplated by regulation 3. This regulation refers to dispositions which are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defined . . . to mean conveyances or assignments. A contract of sale is neither of these”.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Obviously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J had overlooked regulation 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where such a contract is a disposition. With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respect, that decision of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J was wrong.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Out of courtesy for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J and other judges of his way of thinking perhaps some subsidiary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observations may be in order. A right of occupancy is something in the nature of a lease and a holder of a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right of occupancy occupies the position of a sort of lessee </w:t>
      </w:r>
      <w:r>
        <w:rPr>
          <w:rFonts w:ascii="Times New Roman" w:hAnsi="Times New Roman" w:cs="Times New Roman"/>
          <w:i/>
          <w:iCs/>
          <w:color w:val="000000"/>
        </w:rPr>
        <w:t xml:space="preserve">vis-à-vis </w:t>
      </w:r>
      <w:r>
        <w:rPr>
          <w:rFonts w:ascii="Times New Roman" w:hAnsi="Times New Roman" w:cs="Times New Roman"/>
          <w:color w:val="000000"/>
        </w:rPr>
        <w:t>the superior landlord. A right of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occupancy is for a term, and is held under certain conditions. One of the conditions is that no disposition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said right can be made without the consent of the superior landlord. There is now no freehold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tenure in Tanzania. All land is vested in the Republic. So land held under a right of occupancy is not a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freely disposable or marketable commodity like a motor car. Its disposal is subject to the consent of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or paramount landlord as provided for under the relevant land regulations.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case is famous not only because it was the basis of the dissenting opinion of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 JA in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Shambwe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case, but also because it states the principle underlying regulation 3.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last case in this category is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Longo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Kivuyo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[1988] TLR 263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wherein it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stated that “[t]he view that an agreement to sell a right of occupancy, which agreement has received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consent under the regulation is inoperative, and hence unenforceable at law”, was reaffirmed by this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in the more recent cases of </w:t>
      </w:r>
      <w:r>
        <w:rPr>
          <w:rFonts w:ascii="Times New Roman" w:hAnsi="Times New Roman" w:cs="Times New Roman"/>
          <w:i/>
          <w:iCs/>
          <w:color w:val="000000"/>
        </w:rPr>
        <w:t xml:space="preserve">Patel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Marealle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civil appeal number 5 of 1988 and </w:t>
      </w:r>
      <w:r>
        <w:rPr>
          <w:rFonts w:ascii="Times New Roman" w:hAnsi="Times New Roman" w:cs="Times New Roman"/>
          <w:i/>
          <w:iCs/>
          <w:color w:val="000000"/>
        </w:rPr>
        <w:t>Nitin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Coffee Estate Limited and others v United Engineering Works Limited and another </w:t>
      </w:r>
      <w:r>
        <w:rPr>
          <w:rFonts w:ascii="Times New Roman" w:hAnsi="Times New Roman" w:cs="Times New Roman"/>
          <w:color w:val="000000"/>
        </w:rPr>
        <w:t>civil appeal number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15 of 1988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It therefore follows that the judgment of the High Court based as it was wholly on an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which was inoperative at law, cannot be sustained and it must be set aside.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must be clear by now that the decisions of the courts both in this country and in East Africa on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before us has not been consistent, contrary to what appears to be asserted in </w:t>
      </w:r>
      <w:r>
        <w:rPr>
          <w:rFonts w:ascii="Times New Roman" w:hAnsi="Times New Roman" w:cs="Times New Roman"/>
          <w:i/>
          <w:iCs/>
          <w:color w:val="000000"/>
        </w:rPr>
        <w:t>Nitin</w:t>
      </w:r>
      <w:r>
        <w:rPr>
          <w:rFonts w:ascii="Times New Roman" w:hAnsi="Times New Roman" w:cs="Times New Roman"/>
          <w:color w:val="000000"/>
        </w:rPr>
        <w:t>’s case. As we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attempted to demonstrate, three positions can be discerned from the numerous precedents. If our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is going to depart from any of these positions, it cannot be construed to be </w:t>
      </w:r>
      <w:proofErr w:type="spellStart"/>
      <w:r>
        <w:rPr>
          <w:rFonts w:ascii="Times New Roman" w:hAnsi="Times New Roman" w:cs="Times New Roman"/>
          <w:color w:val="000000"/>
        </w:rPr>
        <w:t>violative</w:t>
      </w:r>
      <w:proofErr w:type="spellEnd"/>
      <w:r>
        <w:rPr>
          <w:rFonts w:ascii="Times New Roman" w:hAnsi="Times New Roman" w:cs="Times New Roman"/>
          <w:color w:val="000000"/>
        </w:rPr>
        <w:t xml:space="preserve"> of the rule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laid down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Jivraj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[1908] EA 263, wherein it was stated that: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“There is a principle of law, however, that where a court has interpreted the law in a certain manner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particularly an interpretation which affects property rights, and that interpretation has been acted upon for a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considerable time, then that interpretation should not be departed from unless it is clearly wrong and gives</w:t>
      </w:r>
      <w:r w:rsidR="005C64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rise to injustice”.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ascertaining what we consider to be the correct interpretation of the expression “shall not be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operative” in regulation 3 of the Land Regulations 1948 and 1968, we are going to be guided by two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lying principles. The first principle is explained in </w:t>
      </w:r>
      <w:r>
        <w:rPr>
          <w:rFonts w:ascii="Times New Roman" w:hAnsi="Times New Roman" w:cs="Times New Roman"/>
          <w:i/>
          <w:iCs/>
          <w:color w:val="000000"/>
        </w:rPr>
        <w:t>Nitin</w:t>
      </w:r>
      <w:r>
        <w:rPr>
          <w:rFonts w:ascii="Times New Roman" w:hAnsi="Times New Roman" w:cs="Times New Roman"/>
          <w:color w:val="000000"/>
        </w:rPr>
        <w:t>’s case, that is, “a right of occupancy is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something in the nature of a lease and a holder of a right of occupancy occupies the position of a sort of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lessee </w:t>
      </w:r>
      <w:r>
        <w:rPr>
          <w:rFonts w:ascii="Times New Roman" w:hAnsi="Times New Roman" w:cs="Times New Roman"/>
          <w:i/>
          <w:iCs/>
          <w:color w:val="000000"/>
        </w:rPr>
        <w:t xml:space="preserve">vis-à-vis </w:t>
      </w:r>
      <w:r>
        <w:rPr>
          <w:rFonts w:ascii="Times New Roman" w:hAnsi="Times New Roman" w:cs="Times New Roman"/>
          <w:color w:val="000000"/>
        </w:rPr>
        <w:t>the superior landlord”. The corollary of this principle is that a transaction for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disposition of a right of occupancy is necessarily a tripartite transaction involving not only the holder of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right of occupancy and the purchaser or </w:t>
      </w:r>
      <w:proofErr w:type="spellStart"/>
      <w:r>
        <w:rPr>
          <w:rFonts w:ascii="Times New Roman" w:hAnsi="Times New Roman" w:cs="Times New Roman"/>
          <w:color w:val="000000"/>
        </w:rPr>
        <w:t>donee</w:t>
      </w:r>
      <w:proofErr w:type="spellEnd"/>
      <w:r>
        <w:rPr>
          <w:rFonts w:ascii="Times New Roman" w:hAnsi="Times New Roman" w:cs="Times New Roman"/>
          <w:color w:val="000000"/>
        </w:rPr>
        <w:t>, but also involving the superior landlord. The second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concerns the law of contract and originates from the English common law. That principle is the</w:t>
      </w:r>
      <w:r w:rsidR="005C64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 of sanctity of contract as stated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Chitty’s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 of Contracts </w:t>
      </w:r>
      <w:r>
        <w:rPr>
          <w:rFonts w:ascii="Times New Roman" w:hAnsi="Times New Roman" w:cs="Times New Roman"/>
          <w:color w:val="000000"/>
        </w:rPr>
        <w:t xml:space="preserve">Volume 1 (24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 5 thus:</w:t>
      </w:r>
    </w:p>
    <w:p w:rsidR="00FB6621" w:rsidRPr="005A1685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“A concomitant of the doctrine of freedom of contract is that of sanctity of contracts; and it is still a cardinal</w:t>
      </w:r>
      <w:r w:rsidR="005A168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principle of English law because it suits the needs of a</w:t>
      </w:r>
      <w:r w:rsidR="005A168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commercial community it . . . English law is consistently reluctant to admit excuses for non-performance</w:t>
      </w:r>
      <w:r w:rsidR="005A168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where there is no incapacity, no fraud (actual or constructive) or misrepresentation, and no principle of public</w:t>
      </w:r>
      <w:r w:rsidR="005A1685" w:rsidRPr="005A168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5A1685">
        <w:rPr>
          <w:rFonts w:ascii="Times New Roman" w:hAnsi="Times New Roman" w:cs="Times New Roman"/>
          <w:i/>
          <w:color w:val="000000"/>
          <w:sz w:val="20"/>
          <w:szCs w:val="20"/>
        </w:rPr>
        <w:t>policy prohibiting enforcement”.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our considered opinion that since there is nothing in the Law of Contract Ordinance Chapter 433,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excludes this principle, there can be no doubt that it is part of the law of contract of this country,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virtue of the provisions of subsection (2) of section 2 of the Judicature and Application of Laws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Ordinance Chapter 453 of the Revised Laws.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 guided by these two principles and the provisi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ons of subsection (2) of section 2 of the Law of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Contract Ordinance, we are satisfied that the expression “shall not be operative” as used under regulation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of the Land Regulations 1948 and 1960, does not mean “void” or another meaning to the same effect.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satisfied that this must be the correct interpretation in view of the provisions of subsection (2) of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 of the Law of Contract Ordinance. We note that the decisions of cases made before 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enactment </w:t>
      </w:r>
      <w:r>
        <w:rPr>
          <w:rFonts w:ascii="Times New Roman" w:hAnsi="Times New Roman" w:cs="Times New Roman"/>
          <w:color w:val="000000"/>
        </w:rPr>
        <w:lastRenderedPageBreak/>
        <w:t>of the Law of Contract Ordinance and which held to the effect that non-compliance with 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requirement of consent or writing rendered a contract void, were correct according to law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then, but ceased to be precedents on the matter after 1960. As to the decisions which were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thereafter and which were to the same effect, as if the provisions of subsection (2) above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mentioned did not exist, there is no doubt in our minds that such decisions were made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asked ourselves: if the expression “shall not be operative” does not entail invalidity, what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does it mean? Logically, it means at least that the contract in question is valid. According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5A168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proofErr w:type="spellEnd"/>
      <w:r>
        <w:rPr>
          <w:rFonts w:ascii="Times New Roman" w:hAnsi="Times New Roman" w:cs="Times New Roman"/>
          <w:color w:val="000000"/>
        </w:rPr>
        <w:t>, such valid contract has all the attributes of a valid contract. That submission is consistent with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doctrine or principle of sanctity of contract. We note however,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likely to agree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us, that the principle of sanctity of contract is qualified by certain factors, including that of public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policy as stated in the paragraph we have cited from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Chitty’s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 of Contracts. </w:t>
      </w:r>
      <w:r>
        <w:rPr>
          <w:rFonts w:ascii="Times New Roman" w:hAnsi="Times New Roman" w:cs="Times New Roman"/>
          <w:color w:val="000000"/>
        </w:rPr>
        <w:t>The factor of public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policy in contracts for the disposition of a right of occupancy is consistent with the second principle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guiding us, and which concerns the relationship between the holder of a right of occupancy and 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paramount landlord as explained in </w:t>
      </w:r>
      <w:r>
        <w:rPr>
          <w:rFonts w:ascii="Times New Roman" w:hAnsi="Times New Roman" w:cs="Times New Roman"/>
          <w:i/>
          <w:iCs/>
          <w:color w:val="000000"/>
        </w:rPr>
        <w:t>Nitin</w:t>
      </w:r>
      <w:r>
        <w:rPr>
          <w:rFonts w:ascii="Times New Roman" w:hAnsi="Times New Roman" w:cs="Times New Roman"/>
          <w:color w:val="000000"/>
        </w:rPr>
        <w:t>’s case. It is our considered opinion that a contract falling within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scope of regulation 3 has all the attributes of a valid contract, except those of which performance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requisite consent is sought and obtained, is prejudicial to the interests of the paramount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landlord. Such are, for example, terms of which performance has the effect of replacing the holder of a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occupancy with another person without the consent of the paramount landlord. Such terms,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valid, are unenforceable on the grounds of public policy which protects the interests of 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paramount landlord. In our considered opinion, this unenforceability of a valid contract is what in meant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expression “shall be inoperative” under regulation 3.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corollary of what we have stated is that a contract for the disposition of land, which otherwise is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but for the lack of required consent, is inoperative, that is, unenforceable to the extent that such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enforcement is prejudicial to the interests of the paramount landlord. However, where such enforcement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thus prejudicial, a party who has performed his or her part of the bargain may be assisted by 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enforce the contract against the defaulting party. So a party who defaults to submit a written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for consent or refusal by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specified authority may be compelled to do so if the other party has performed his or her part of 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bargain. Of course where such consent is sought and is refused, the contract becomes wholly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unenforceable, though valid, and any expenses incurred by the parties may be recovered by legal action,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necessary.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conclusion, we are now in the position to say that of all the precedents cited to us, those falling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second category are closer to, though not completely in accord with, the correct position which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</w:t>
      </w:r>
      <w:r w:rsidR="005A1685">
        <w:rPr>
          <w:rFonts w:ascii="Times New Roman" w:hAnsi="Times New Roman" w:cs="Times New Roman"/>
          <w:color w:val="000000"/>
        </w:rPr>
        <w:t>endeavored</w:t>
      </w:r>
      <w:r>
        <w:rPr>
          <w:rFonts w:ascii="Times New Roman" w:hAnsi="Times New Roman" w:cs="Times New Roman"/>
          <w:color w:val="000000"/>
        </w:rPr>
        <w:t xml:space="preserve"> to explain. This means </w:t>
      </w:r>
      <w:r>
        <w:rPr>
          <w:rFonts w:ascii="Times New Roman" w:hAnsi="Times New Roman" w:cs="Times New Roman"/>
          <w:i/>
          <w:iCs/>
          <w:color w:val="000000"/>
        </w:rPr>
        <w:t>Nitin</w:t>
      </w:r>
      <w:r>
        <w:rPr>
          <w:rFonts w:ascii="Times New Roman" w:hAnsi="Times New Roman" w:cs="Times New Roman"/>
          <w:color w:val="000000"/>
        </w:rPr>
        <w:t>’s case was bad in law since it undermines the sanctity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contract;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Shambwe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is only partly sound because it does not safeguard the interests of 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paramount landlord. We consequently direct that the ordinary bench of this Court before whom civil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number 42 of 1996 is currently pending, be informed accordingly, so that the hearing of the</w:t>
      </w:r>
      <w:r w:rsidR="005A16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may resume. We so order.</w:t>
      </w:r>
    </w:p>
    <w:p w:rsidR="00FB6621" w:rsidRDefault="00FB6621" w:rsidP="005A16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Chandoo</w:t>
      </w:r>
      <w:proofErr w:type="spellEnd"/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Jadeja</w:t>
      </w:r>
      <w:proofErr w:type="spellEnd"/>
    </w:p>
    <w:p w:rsidR="00FB6621" w:rsidRDefault="00FB6621" w:rsidP="00FB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Amicus curiae</w:t>
      </w:r>
      <w:r>
        <w:rPr>
          <w:rFonts w:ascii="Times New Roman" w:hAnsi="Times New Roman" w:cs="Times New Roman"/>
          <w:color w:val="000000"/>
        </w:rPr>
        <w:t>:</w:t>
      </w:r>
    </w:p>
    <w:p w:rsidR="003F18BF" w:rsidRDefault="00FB6621" w:rsidP="00FB6621">
      <w:r>
        <w:rPr>
          <w:rFonts w:ascii="Times New Roman" w:hAnsi="Times New Roman" w:cs="Times New Roman"/>
          <w:i/>
          <w:iCs/>
          <w:color w:val="000000"/>
        </w:rPr>
        <w:t xml:space="preserve">Prof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(at request of the Court)</w:t>
      </w:r>
    </w:p>
    <w:sectPr w:rsidR="003F18BF" w:rsidSect="005A1685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21"/>
    <w:rsid w:val="003F18BF"/>
    <w:rsid w:val="00496A26"/>
    <w:rsid w:val="005A1685"/>
    <w:rsid w:val="005C6475"/>
    <w:rsid w:val="00FB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72CBE-1C8E-403A-A425-6769FCE4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4486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2018-07-05T11:17:00Z</dcterms:created>
  <dcterms:modified xsi:type="dcterms:W3CDTF">2018-07-10T05:08:00Z</dcterms:modified>
</cp:coreProperties>
</file>