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BTB Insurance Agencies Limited v NITIN Shah and others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[2006] 2 EA 26 (CCK)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 of Kenya at Nairobi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6 October 2006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560/01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Ochieng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R </w:t>
      </w:r>
      <w:proofErr w:type="spellStart"/>
      <w:r>
        <w:rPr>
          <w:rFonts w:ascii="Times New Roman" w:hAnsi="Times New Roman" w:cs="Times New Roman"/>
          <w:color w:val="000000"/>
        </w:rPr>
        <w:t>Rogo</w:t>
      </w:r>
      <w:proofErr w:type="spellEnd"/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Application to strike out – Plaint.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Land law – Whether all agricultural land transactions must have consent of the Lands Control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Board – Effect of failure to get the Board’s consent.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defendant filed an application to strike out the plaint under Order VI, rule 13(1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and (</w:t>
      </w:r>
      <w:r>
        <w:rPr>
          <w:rFonts w:ascii="Times New Roman" w:hAnsi="Times New Roman" w:cs="Times New Roman"/>
          <w:i/>
          <w:i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); as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well</w:t>
      </w:r>
      <w:proofErr w:type="gramEnd"/>
      <w:r>
        <w:rPr>
          <w:rFonts w:ascii="Times New Roman" w:hAnsi="Times New Roman" w:cs="Times New Roman"/>
          <w:color w:val="000000"/>
        </w:rPr>
        <w:t xml:space="preserve"> as Order VI, rule 16 of the Civil Procedure Rules; and section 6(1) and 22 of the Land Control Act.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was the defendant’s case that the entire claim was based on the agreement for sale of shares dated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 February 2000. The said sale would have given the plaintiff rights over some agricultural property and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thus</w:t>
      </w:r>
      <w:proofErr w:type="gramEnd"/>
      <w:r>
        <w:rPr>
          <w:rFonts w:ascii="Times New Roman" w:hAnsi="Times New Roman" w:cs="Times New Roman"/>
          <w:color w:val="000000"/>
        </w:rPr>
        <w:t>, the transaction ought to have been consented to by the Land Control Board pursuant to section 6(1)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the Land Control Act and thus, the entire transaction was void for lack of cause of action.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Failure to obtain the necessary Land Control Board consent automatically vitiates an agreement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to</w:t>
      </w:r>
      <w:proofErr w:type="gramEnd"/>
      <w:r>
        <w:rPr>
          <w:rFonts w:ascii="Times New Roman" w:hAnsi="Times New Roman" w:cs="Times New Roman"/>
          <w:color w:val="000000"/>
        </w:rPr>
        <w:t xml:space="preserve"> be a party to a controlled transaction. Section 6 of the Land Control Act prohibits any dealing with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agricultural</w:t>
      </w:r>
      <w:proofErr w:type="gramEnd"/>
      <w:r>
        <w:rPr>
          <w:rFonts w:ascii="Times New Roman" w:hAnsi="Times New Roman" w:cs="Times New Roman"/>
          <w:color w:val="000000"/>
        </w:rPr>
        <w:t xml:space="preserve"> land in a land control area unless the consent of the Land Control Board for the area is first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obtained</w:t>
      </w:r>
      <w:proofErr w:type="gramEnd"/>
      <w:r>
        <w:rPr>
          <w:rFonts w:ascii="Times New Roman" w:hAnsi="Times New Roman" w:cs="Times New Roman"/>
          <w:color w:val="000000"/>
        </w:rPr>
        <w:t xml:space="preserve"> and any such dealing is not only illegal but absolutely void for all purposes. This position is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constant</w:t>
      </w:r>
      <w:proofErr w:type="gramEnd"/>
      <w:r>
        <w:rPr>
          <w:rFonts w:ascii="Times New Roman" w:hAnsi="Times New Roman" w:cs="Times New Roman"/>
          <w:color w:val="000000"/>
        </w:rPr>
        <w:t xml:space="preserve"> even in situations in which the plaintiff, in a case involving agricultural land in a land control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area</w:t>
      </w:r>
      <w:proofErr w:type="gramEnd"/>
      <w:r>
        <w:rPr>
          <w:rFonts w:ascii="Times New Roman" w:hAnsi="Times New Roman" w:cs="Times New Roman"/>
          <w:color w:val="000000"/>
        </w:rPr>
        <w:t>, has made payments for the purchase thereof, and thus, no estoppel arises. If the transaction is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subject</w:t>
      </w:r>
      <w:proofErr w:type="gramEnd"/>
      <w:r>
        <w:rPr>
          <w:rFonts w:ascii="Times New Roman" w:hAnsi="Times New Roman" w:cs="Times New Roman"/>
          <w:color w:val="000000"/>
        </w:rPr>
        <w:t xml:space="preserve"> to the provisions of section 6(1) of the Land Control Act, then, it does not matter that the plaintiff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might</w:t>
      </w:r>
      <w:proofErr w:type="gramEnd"/>
      <w:r>
        <w:rPr>
          <w:rFonts w:ascii="Times New Roman" w:hAnsi="Times New Roman" w:cs="Times New Roman"/>
          <w:color w:val="000000"/>
        </w:rPr>
        <w:t xml:space="preserve"> have been induced to enter into the Agreement, as the said Agreement would be void in any event.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Wathome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[1968] EA 40;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Hirani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Ngaithe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Wanjiku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Munge </w:t>
      </w:r>
      <w:r>
        <w:rPr>
          <w:rFonts w:ascii="Times New Roman" w:hAnsi="Times New Roman" w:cs="Times New Roman"/>
          <w:color w:val="000000"/>
        </w:rPr>
        <w:t xml:space="preserve">[1979] KLR 50;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Watambamala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KLR 852;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[1983] KLR 225 applied).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amended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however asserts that the suit property had nothing to do with the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suit</w:t>
      </w:r>
      <w:proofErr w:type="gramEnd"/>
      <w:r>
        <w:rPr>
          <w:rFonts w:ascii="Times New Roman" w:hAnsi="Times New Roman" w:cs="Times New Roman"/>
          <w:color w:val="000000"/>
        </w:rPr>
        <w:t xml:space="preserve"> herein. This pleading gave rise to the possibility that the plaintiff may prove that it has an agreement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for</w:t>
      </w:r>
      <w:proofErr w:type="gramEnd"/>
      <w:r>
        <w:rPr>
          <w:rFonts w:ascii="Times New Roman" w:hAnsi="Times New Roman" w:cs="Times New Roman"/>
          <w:color w:val="000000"/>
        </w:rPr>
        <w:t xml:space="preserve"> the purchase of shares. Whether such purchase, if proved, would have any bearing on the suit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property</w:t>
      </w:r>
      <w:proofErr w:type="gramEnd"/>
      <w:r>
        <w:rPr>
          <w:rFonts w:ascii="Times New Roman" w:hAnsi="Times New Roman" w:cs="Times New Roman"/>
          <w:color w:val="000000"/>
        </w:rPr>
        <w:t xml:space="preserve"> would then need to be determined, in the light of the defendant’s contention that the shares and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suit property were not interlinked. In the circumstances there is yet to be provided evidence to prove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or</w:t>
      </w:r>
      <w:proofErr w:type="gramEnd"/>
      <w:r>
        <w:rPr>
          <w:rFonts w:ascii="Times New Roman" w:hAnsi="Times New Roman" w:cs="Times New Roman"/>
          <w:color w:val="000000"/>
        </w:rPr>
        <w:t xml:space="preserve"> disprove the nexus between the sale of shares and suit property. There is thus a possibility that the trial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court</w:t>
      </w:r>
      <w:proofErr w:type="gramEnd"/>
      <w:r>
        <w:rPr>
          <w:rFonts w:ascii="Times New Roman" w:hAnsi="Times New Roman" w:cs="Times New Roman"/>
          <w:color w:val="000000"/>
        </w:rPr>
        <w:t xml:space="preserve"> could come to the conclusion that the shares were not linked to the suit property as asserted by the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defendant</w:t>
      </w:r>
      <w:proofErr w:type="gramEnd"/>
      <w:r>
        <w:rPr>
          <w:rFonts w:ascii="Times New Roman" w:hAnsi="Times New Roman" w:cs="Times New Roman"/>
          <w:color w:val="000000"/>
        </w:rPr>
        <w:t>. If that were to happen, there would be no need for the transaction in the shares being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sanctioned</w:t>
      </w:r>
      <w:proofErr w:type="gramEnd"/>
      <w:r>
        <w:rPr>
          <w:rFonts w:ascii="Times New Roman" w:hAnsi="Times New Roman" w:cs="Times New Roman"/>
          <w:color w:val="000000"/>
        </w:rPr>
        <w:t xml:space="preserve"> by the Land Control Board.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27 of [2006] 2 EA 26 (CCK)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Furthermore, even if the transaction should be found to be subject to the consent of the Land Control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Board, it was arguable whether or not the plaint could be amended so as to enable the plaintiff to recover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consideration it may have paid to the first defendant.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Njamunyu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[1983] KLR 282;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Watambamala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[1985] KLR 852 considered).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dismissed.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Hirani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Ngaithe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Githire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Wanjiku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Munge </w:t>
      </w:r>
      <w:r>
        <w:rPr>
          <w:rFonts w:ascii="Times New Roman" w:hAnsi="Times New Roman" w:cs="Times New Roman"/>
          <w:color w:val="000000"/>
        </w:rPr>
        <w:t xml:space="preserve">[1979] KLR 50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lastRenderedPageBreak/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[1983] KLR 225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Njamunyu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Nyaga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[1983] KLR 282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DA3D12" w:rsidRDefault="00DA3D12" w:rsidP="00DA3D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Watambamala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KLR 852 – </w:t>
      </w:r>
      <w:r>
        <w:rPr>
          <w:rFonts w:ascii="Times New Roman" w:hAnsi="Times New Roman" w:cs="Times New Roman"/>
          <w:b/>
          <w:bCs/>
          <w:color w:val="000000"/>
        </w:rPr>
        <w:t xml:space="preserve">AP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AB7022" w:rsidRDefault="00DA3D12" w:rsidP="00DA3D12">
      <w:proofErr w:type="spellStart"/>
      <w:r>
        <w:rPr>
          <w:rFonts w:ascii="Times New Roman" w:hAnsi="Times New Roman" w:cs="Times New Roman"/>
          <w:i/>
          <w:iCs/>
          <w:color w:val="000000"/>
        </w:rPr>
        <w:t>Wambua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</w:t>
      </w:r>
      <w:bookmarkStart w:id="0" w:name="_GoBack"/>
      <w:bookmarkEnd w:id="0"/>
    </w:p>
    <w:sectPr w:rsidR="00AB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D12"/>
    <w:rsid w:val="00AB7022"/>
    <w:rsid w:val="00DA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6F95B-3982-4E58-BB7C-0DCD47831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2018-07-05T05:55:00Z</dcterms:created>
  <dcterms:modified xsi:type="dcterms:W3CDTF">2018-07-05T05:55:00Z</dcterms:modified>
</cp:coreProperties>
</file>