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BTB Insurance Agencies Limited v NITIN Shah and others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[2006] 2 EA 26 (CCK)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 of Kenya at Nairobi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 of Kenya at Nairobi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2006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560/01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J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Application to strike out – Plaint.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law – Whether all agricultural land transactions must have consent of the Lands Control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Board – Effect of failure to get the Board’s consent.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filed an application to strike out the plaint under Order VI, rule 13(1)(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); 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as Order VI, rule 16 of the Civil Procedure Rules; and section 6(1) and 22 of the Land Control Act.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defendant’s case that the entire claim was based on the agreement for sale of shares dated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 February 2000. The said sale would have given the plaintiff rights over some agricultural property 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thus, the transaction ought to have been consented to by the Land Control Board pursuant to section 6(1)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Land Control Act and thus, the entire transaction was void for lack of cause of action.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Failure to obtain the necessary Land Control Board consent automatically vitiates an agreement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be a party to a controlled transaction. Section 6 of the Land Control Act prohibits any dealing with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agricultural land in a land control area unless the consent of the Land Control Board for the area is first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obtained and any such dealing is not only illegal but absolutely void for all purposes. This position is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constant even in situations in which the plaintiff, in a case involving agricultural land in a land control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area, has made payments for the purchase thereof, and thus, no estoppel arises. If the transaction is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subject to the provisions of section 6(1) of the Land Control Act, then, it does not matter that the plaintiff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might have been induced to enter into the Agreement, as the said Agreement would be void in any event.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Wambua v Wathome </w:t>
      </w:r>
      <w:r>
        <w:rPr>
          <w:rFonts w:ascii="Times New Roman" w:hAnsi="Times New Roman" w:cs="Times New Roman"/>
          <w:color w:val="000000"/>
        </w:rPr>
        <w:t xml:space="preserve">[1968] EA 40; </w:t>
      </w:r>
      <w:r>
        <w:rPr>
          <w:rFonts w:ascii="Times New Roman" w:hAnsi="Times New Roman" w:cs="Times New Roman"/>
          <w:i/>
          <w:iCs/>
          <w:color w:val="000000"/>
        </w:rPr>
        <w:t xml:space="preserve">Hirani Ngaithe Githire v Wanjiku Munge </w:t>
      </w:r>
      <w:r>
        <w:rPr>
          <w:rFonts w:ascii="Times New Roman" w:hAnsi="Times New Roman" w:cs="Times New Roman"/>
          <w:color w:val="000000"/>
        </w:rPr>
        <w:t xml:space="preserve">[1979] KLR 50; </w:t>
      </w:r>
      <w:r>
        <w:rPr>
          <w:rFonts w:ascii="Times New Roman" w:hAnsi="Times New Roman" w:cs="Times New Roman"/>
          <w:i/>
          <w:iCs/>
          <w:color w:val="000000"/>
        </w:rPr>
        <w:t>Simiyu v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Watambamala </w:t>
      </w:r>
      <w:r>
        <w:rPr>
          <w:rFonts w:ascii="Times New Roman" w:hAnsi="Times New Roman" w:cs="Times New Roman"/>
          <w:color w:val="000000"/>
        </w:rPr>
        <w:t xml:space="preserve">[1985] KLR 852; </w:t>
      </w:r>
      <w:r>
        <w:rPr>
          <w:rFonts w:ascii="Times New Roman" w:hAnsi="Times New Roman" w:cs="Times New Roman"/>
          <w:i/>
          <w:iCs/>
          <w:color w:val="000000"/>
        </w:rPr>
        <w:t xml:space="preserve">Kariuki v Kariuki </w:t>
      </w:r>
      <w:r>
        <w:rPr>
          <w:rFonts w:ascii="Times New Roman" w:hAnsi="Times New Roman" w:cs="Times New Roman"/>
          <w:color w:val="000000"/>
        </w:rPr>
        <w:t>[1983] KLR 225 applied).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amended statement of defence however asserts that the suit property had nothing to do with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 herein. This pleading gave rise to the possibility that the plaintiff may prove that it has an agreement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purchase of shares. Whether such purchase, if proved, would have any bearing on the suit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property would then need to be determined, in the light of the defendant’s contention that the shares 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suit property were not interlinked. In the circumstances there is yet to be provided evidence to prove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 disprove the nexus between the sale of shares and suit property. There is thus a possibility that the trial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could come to the conclusion that the shares were not linked to the suit property as asserted by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defendant. If that were to happen, there would be no need for the transaction in the shares being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sanctioned by the Land Control Board.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27 of [2006] 2 EA 26 (CCK)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even if the transaction should be found to be subject to the consent of the Land Control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Board, it was arguable whether or not the plaint could be amended so as to enable the plaintiff to recover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the consideration it may have paid to the first defendant. (</w:t>
      </w:r>
      <w:r>
        <w:rPr>
          <w:rFonts w:ascii="Times New Roman" w:hAnsi="Times New Roman" w:cs="Times New Roman"/>
          <w:i/>
          <w:iCs/>
          <w:color w:val="000000"/>
        </w:rPr>
        <w:t xml:space="preserve">Njamunyu v Nyaga </w:t>
      </w:r>
      <w:r>
        <w:rPr>
          <w:rFonts w:ascii="Times New Roman" w:hAnsi="Times New Roman" w:cs="Times New Roman"/>
          <w:color w:val="000000"/>
        </w:rPr>
        <w:t xml:space="preserve">[1983] KLR 282; </w:t>
      </w:r>
      <w:r>
        <w:rPr>
          <w:rFonts w:ascii="Times New Roman" w:hAnsi="Times New Roman" w:cs="Times New Roman"/>
          <w:i/>
          <w:iCs/>
          <w:color w:val="000000"/>
        </w:rPr>
        <w:t>Simiyu v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Watambamala </w:t>
      </w:r>
      <w:r>
        <w:rPr>
          <w:rFonts w:ascii="Times New Roman" w:hAnsi="Times New Roman" w:cs="Times New Roman"/>
          <w:color w:val="000000"/>
        </w:rPr>
        <w:t>[1985] KLR 852 considered).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Hirani Ngaithe Githire v Wanjiku Munge </w:t>
      </w:r>
      <w:r>
        <w:rPr>
          <w:rFonts w:ascii="Times New Roman" w:hAnsi="Times New Roman" w:cs="Times New Roman"/>
          <w:color w:val="000000"/>
        </w:rPr>
        <w:t xml:space="preserve">[1979] KLR 50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Kariuki v Kariuki </w:t>
      </w:r>
      <w:r>
        <w:rPr>
          <w:rFonts w:ascii="Times New Roman" w:hAnsi="Times New Roman" w:cs="Times New Roman"/>
          <w:color w:val="000000"/>
        </w:rPr>
        <w:t xml:space="preserve">[1983] KLR 225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Njamunyu v Nyaga </w:t>
      </w:r>
      <w:r>
        <w:rPr>
          <w:rFonts w:ascii="Times New Roman" w:hAnsi="Times New Roman" w:cs="Times New Roman"/>
          <w:color w:val="000000"/>
        </w:rPr>
        <w:t xml:space="preserve">[1983] KLR 282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Simiyu v Watambamala </w:t>
      </w:r>
      <w:r>
        <w:rPr>
          <w:rFonts w:ascii="Times New Roman" w:hAnsi="Times New Roman" w:cs="Times New Roman"/>
          <w:color w:val="000000"/>
        </w:rPr>
        <w:t xml:space="preserve">[1985] KLR 852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Wambua v Wathome </w:t>
      </w:r>
      <w:r>
        <w:rPr>
          <w:rFonts w:ascii="Times New Roman" w:hAnsi="Times New Roman" w:cs="Times New Roman"/>
          <w:color w:val="000000"/>
        </w:rPr>
        <w:t xml:space="preserve">[1968] EA 40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Ochieng J: </w:t>
      </w:r>
      <w:r>
        <w:rPr>
          <w:rFonts w:ascii="Times New Roman" w:hAnsi="Times New Roman" w:cs="Times New Roman"/>
          <w:color w:val="000000"/>
        </w:rPr>
        <w:t>This is an application by the defendant, who wishes to have the plaint struck out.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has been made pursuant to the provisions of Order VI, rule 13(1)(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); as well 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VI, rule 16 of the Civil Procedure Rules; and section 6(1) and 22 of the Land Control Act.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commencement of the hearing of this application the plaintiff raised a preliminary objection on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grounds that insofar as the application was brought under Order VI, rule 13(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amongst others,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had to make an election whether to forego reliance on the supporting affidavit if it went ahead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application under all the three heads, or alternatively choose to drop reliance on rule 13(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use the affidavit.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ruling delivered on 26 January 2006, I overruled the objection. I also overruled an objection to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supporting affidavit which had been sworn by Mr Z Alibhai. Consequently, the application was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prosecuted as it had been filed.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Basically, as I understand it, the application centred on the provisions of section 6(1) of the Land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Control Act.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the defendant’s case that the entire claim is based on the Agreement for sale of shares dated 10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2000. The said sale of shares would have given to the plaintiff rights over some agricultural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property, so says the defendant. Therefore, it was contended that the transaction ought to have been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consented to by the Land Control Board, pursuant to section 6(1) of the Land Control Act.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insofar as there was no Land Control Board consent, the defendant contends that the entire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transaction was void </w:t>
      </w:r>
      <w:r>
        <w:rPr>
          <w:rFonts w:ascii="Times New Roman" w:hAnsi="Times New Roman" w:cs="Times New Roman"/>
          <w:i/>
          <w:iCs/>
          <w:color w:val="000000"/>
        </w:rPr>
        <w:t>ab initio</w:t>
      </w:r>
      <w:r>
        <w:rPr>
          <w:rFonts w:ascii="Times New Roman" w:hAnsi="Times New Roman" w:cs="Times New Roman"/>
          <w:color w:val="000000"/>
        </w:rPr>
        <w:t>. And as the Agreement, which is the basis of the suit was void for lack of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Control Board consent the defendants submitted that there was no cause of action against them.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28 of [2006] 2 EA 26 (CCK)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Wambua v Wathome </w:t>
      </w:r>
      <w:r>
        <w:rPr>
          <w:rFonts w:ascii="Times New Roman" w:hAnsi="Times New Roman" w:cs="Times New Roman"/>
          <w:color w:val="000000"/>
        </w:rPr>
        <w:t>[1968] EA 40, the Honourable Farrel J held that there was no valid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 of action due to the absence of lawful consent from the Land Control Board.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that case the Board had made an initial decision on an application for consent. The said initial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 postponed the application for further consideration. Ultimately, the Board made a decision in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it granted consent. However, the said final decision was made long after the expiry of the 3 months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date of the application.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arriving at the decision to strike out the plaint, the court took into account the plaintiff’s concession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fact that the land which was the subject of the proceedings was subject to the then “Kenya (Land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Control) (Transitional Provisions)” Regulations 1963. That being so, the plaintiff had to plead consent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he could establish his cause of action. He 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new paragraph within which he was to set out the particulars of the consent.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given due consideration to the contents of the intended amendment, the court came to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that even if leave to amend was granted, the proposed amendment would not be capable of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curing the defect in the plaint, as the consent which was sought to be pleaded was not lawful in any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those reasons, the court declined leave to amend the plaint, and then proceeded to strike out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said plaint.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far as the law is concerned, there can be no doubt at all that: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position is simple and clear. Section 6 of the Land Control Act is an express provision of a statute. It is a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mandatory provision, and no principle of equity can soften or change it. The courts cannot do that; for it is not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us to legislate but to interpret what parliament has legislated. So in this case that agreement between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parties having been entered in June 1969 became void for all purposes (including the purpose of specific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performance) at the expiration of three months from the date of making it; and, since no consent had been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obtained within that time, nothing can revise or resurrect such agreement. Failure to obtain the necessary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Land Control Board consent automatically vitiates an agreement to be a party to a controlled transaction.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Section 6 prohibits any dealing with agricultural land in a land control area unless the consent of the Land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Control Board for the area is first obtained and any such dealing is not only illegal but absolutely void for all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purposes.”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Per the Honourable Chesoni J (as he then was) in the case of </w:t>
      </w:r>
      <w:r>
        <w:rPr>
          <w:rFonts w:ascii="Times New Roman" w:hAnsi="Times New Roman" w:cs="Times New Roman"/>
          <w:i/>
          <w:iCs/>
          <w:color w:val="000000"/>
        </w:rPr>
        <w:t>Hirani Ngaithe Githire v Wanjiku Munge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[1979] KLR 50 at 52.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legal position is constant even in situations in which the plaintiff, in a case involving agricultural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in a land control area, had made payments for the purchase thereof.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Simiyu v Watambamala </w:t>
      </w:r>
      <w:r>
        <w:rPr>
          <w:rFonts w:ascii="Times New Roman" w:hAnsi="Times New Roman" w:cs="Times New Roman"/>
          <w:color w:val="000000"/>
        </w:rPr>
        <w:t>[1985] KLR 852 at 856, the Honourable Nyarangi Ag JA (as he then was)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said: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“Here, the appellants had to obtain consent for the controlled transaction. They did not and so the agreement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was void for all purposes including attempting to set up estoppel.”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Thus, the mere fact that the plaintiff herein had already paid a total of KShs 1 641 608,50 would be of no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consequence, in creating an estoppel, if the transaction in question involved the purchase of agricultural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which was subject to land Control Board consent. In effect, the defendants could not be compelled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deliver land to the plaintiff just because the plaintiff had made part payment,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29 of [2006] 2 EA 26 (CCK)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was also ready to pay the balance of the purchase price, if Land Control Board consent was a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prerequisite to the transaction in question.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plaintiff herein, the trial court would need to determine the question as to whether or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there had been inducement by the defendants, for the plaintiff to enter into the Agreement in issue.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think that the all important question is whether or not the transaction was subject to the provisions of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6(1) of the Land Control Act. If the answer to that question is in the affirmative, then it would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matter not that the plaintiff might have been induced to enter into the Agreement, as the said Agreement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be void in any event.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Kariuki v Kariuki </w:t>
      </w:r>
      <w:r>
        <w:rPr>
          <w:rFonts w:ascii="Times New Roman" w:hAnsi="Times New Roman" w:cs="Times New Roman"/>
          <w:color w:val="000000"/>
        </w:rPr>
        <w:t>[1983] KLR 225 at 227, the Honourable Law JA held as follows: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“When a transaction is clearly stated by the express terms of an Act of Parliament to be void for all purposes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want of the necessary consent, a party to the transaction which has become void cannot be guilty of fraud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he relies on the Act and contends that the transaction is void. That is what the Act provides, and the statute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must be enforced if its terms are invoked.”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light of the law as set out in the above cited legal authorities should the plaint now be struck out, 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disclosing no cause of action; or as being frivolous or vexatious; or on the grounds that it was otherwise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abuse of the process of the court?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given careful consideration to the plaint, the Amended Defence and the Reply to Amended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Defence. I did also give consideration to the original Defence.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Firstly, it is noteworthy that at paragraph 6 of the plaint, there is reference to the Agreement dated 10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2000, which was as between the plaintiff and the first defendant. By that Agreement, the first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was supposed to sell to the plaintiff some 200 shares which had been issued by the second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prayers sought in the plaint, the plaintiff seeks an order to compel the first defendant to execute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Transfer of the 200 shares to the plaintiff.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Now, when it is borne in mind that the second defendant was the owner of the suit property, Title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Kwale/Galu/Kinondo/682, evidence would have to be led to prove the nexus between the shares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 said suit property.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course, the plaintiff itself has stated that the suit property was the only known asset of the second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defendant. That would imply that if one was buying shares of the second defendant, the intention would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to own part of the said suit property. Indeed, that appears to be the plaintiff’s intention as is expressed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through its action of lodging a caution against the title to the suit property.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on 27 August 2003, the plaintiff had already drafted and filed a “statement of Issues”, in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the very first issues were set out in the following terms: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Is the suit property known as Kwale/Galu/Kinondo/682 relevant to the suit herein?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Does the plaintiff have a cause of action in relation to the suit property?”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issues were drawn up about 15 months before the defendants filed their Amended Defence.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And whereas the Amended Defence did raise the issue concerning the need for any dealings or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agreement for dealings in the shares, to have the relevant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30 of [2006] 2 EA 26 (CCK)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Control Board consent, it also asserts that the suit property had nothing to do with the suit herein.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paragraph 2 of the Amended Defence it is stated that: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defendants admit that the second defendant, a private company owns the freehold property known 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title number Kwale/Galu/Kinondo/682 (“the property”) but avers that the said property has nothing to do with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suit herein and the plaintiff has no cause of action in relation to the said property or at all.”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the defendants concede that they did sign “points of agreement to purchase shares”, even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though they insist that they were surprised and induced to do so.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my mind, the said pleading clearly gives rise to the possibility that the plaintiff may prove that it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an Agreement for the purchase of shares. Whether such purchase, if proved, would have any bearing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suit property would then need to be determined, in the light of the defendants’ contention that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shares and the suit property were not interlinked.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circumstances I hold that there is yet to be provided any evidence to prove or disprove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nexus between the sale of shares and the suit property. There is thus a possibility that the trial court may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come to the conclusion that the shares were not linked to the suit property, as asserted by the defendants.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that were to happen, there would be no need for the transaction in the shares, being sanctioned by the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 Control Board.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even if the transaction should be found to be subject to the consent of the Land Control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Board, it is arguable whether or not the plaint could be amended so as to enable the plaintiff to recover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consideration it may have paid to the first defendant. The right to recover consideration which was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paid in a dealing which becomes void was recognised both in </w:t>
      </w:r>
      <w:r>
        <w:rPr>
          <w:rFonts w:ascii="Times New Roman" w:hAnsi="Times New Roman" w:cs="Times New Roman"/>
          <w:i/>
          <w:iCs/>
          <w:color w:val="000000"/>
        </w:rPr>
        <w:t xml:space="preserve">Njamunyu v Nyaga </w:t>
      </w:r>
      <w:r>
        <w:rPr>
          <w:rFonts w:ascii="Times New Roman" w:hAnsi="Times New Roman" w:cs="Times New Roman"/>
          <w:color w:val="000000"/>
        </w:rPr>
        <w:t>[1983] KLR 282 and in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Simiyu v Watambamala </w:t>
      </w:r>
      <w:r>
        <w:rPr>
          <w:rFonts w:ascii="Times New Roman" w:hAnsi="Times New Roman" w:cs="Times New Roman"/>
          <w:color w:val="000000"/>
        </w:rPr>
        <w:t>[1985] KLR 852.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effect, I have come to the conclusion that there are at least two issues which arise from the plaint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 defence on record. For that reason, the plaintiff is entitled to have the suit proceed to trial.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the application dated 27 April 2005 is hereby dismissed with costs.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0774E" w:rsidRDefault="0020774E" w:rsidP="0020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20774E" w:rsidP="0020774E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4E"/>
    <w:rsid w:val="0020774E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78730-62B2-434C-AF38-A872830B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2018-07-05T05:56:00Z</dcterms:created>
  <dcterms:modified xsi:type="dcterms:W3CDTF">2018-07-05T05:56:00Z</dcterms:modified>
</cp:coreProperties>
</file>