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1D9" w:rsidRDefault="000111D9" w:rsidP="00011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Babulal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Narshi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&amp; Co Ltd v Deutsche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Ost-Afrika-Linie</w:t>
      </w:r>
      <w:proofErr w:type="spellEnd"/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Mombasa; Court of appeal at Mombasa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July 1974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168/1974 (118/74); 54/1974 (52/75)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Dermot Sheridan J, Spry Ag P, Law Ag V-P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Shipping – Bill of lading – Clean bill – Carrier not estopped from alleging improper packing.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Shipping – Bill of lading – Improper packing – Can only be relied on when loss or damage results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from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improper packing.</w:t>
      </w:r>
    </w:p>
    <w:p w:rsidR="000111D9" w:rsidRDefault="001E5097" w:rsidP="001E50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Sir Dermot Sheridan J: </w:t>
      </w:r>
      <w:r>
        <w:rPr>
          <w:rFonts w:ascii="Times New Roman" w:hAnsi="Times New Roman" w:cs="Times New Roman"/>
          <w:color w:val="000000"/>
        </w:rPr>
        <w:t>The plaintiff sues the defendant as endorsee of a bill of lading issued at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Amsterdam on 15 April 1971,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covering “54 cartons, printed nylon” which were shipped on the defendant’s vessel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Tabora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Mombasa.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face of it the bill states: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“Shipped by the Shipper above named in apparent good order and condition, unless otherwise stated in this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Bill of Lading and only so far as the external appearance of the packages, cases, bales, wrappers and covers is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concerned, on board the above Ocean Vessel (or on board the above Local Vessel, if named above, for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forwarding subject to clause 25 on the reverse side of this Bill of Lading) the goods or packages said to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contain goods above mentioned, for carriage form the above named Port of Loading, (or other port or place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determined by the Carrier under the said clause 25) by the above Ocean Vessel (or Vessel substituted under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the said clause 25) on a voyage as described and agreed by clauses 5,6 and 17 of this Bill of Lading and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discharged, such carriage and discharge being always subject to the terms, conditions and exceptions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hereinafter agreed, in like good order and condition at the Port of Discharge.”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 goes on to allege: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“5. In the premises it was the duty of the defendant or the defendants, by the said bill of lading expressly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or impliedly contracted to deliver the said goods in the same good order and condition as they were in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when shipped.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6. F </w:t>
      </w:r>
      <w:proofErr w:type="spellStart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urther</w:t>
      </w:r>
      <w:proofErr w:type="spellEnd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or alternatively the said bill of lading was expressly made subject to legislation based on </w:t>
      </w:r>
      <w:r w:rsidR="00A64165" w:rsidRPr="001E5097">
        <w:rPr>
          <w:rFonts w:ascii="Times New Roman" w:hAnsi="Times New Roman" w:cs="Times New Roman"/>
          <w:i/>
          <w:color w:val="000000"/>
          <w:sz w:val="20"/>
          <w:szCs w:val="20"/>
        </w:rPr>
        <w:t>The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Hague Rules and the Rules comprised in the Schedule thereto. The said Rules provided (</w:t>
      </w:r>
      <w:r w:rsidRPr="001E5097">
        <w:rPr>
          <w:rFonts w:ascii="Times New Roman" w:hAnsi="Times New Roman" w:cs="Times New Roman"/>
          <w:i/>
          <w:iCs/>
          <w:color w:val="000000"/>
          <w:sz w:val="20"/>
          <w:szCs w:val="20"/>
        </w:rPr>
        <w:t>inter alia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) as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follows: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iCs/>
          <w:color w:val="000000"/>
          <w:sz w:val="20"/>
          <w:szCs w:val="20"/>
        </w:rPr>
        <w:t>ARTICLE III, RULE 2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‘Subject to the provisions of Article 4, the carrier shall properly and carefully load handle, stow, carry,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keep, care for and discharge the goods carried.’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7. I n breach of the duties referred to in paragraphs 5 and 6 hereof the defendant failed to deliver the said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goods in the same good order and condition as they were in when shipped and delivered the same short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by 6,955 as follows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Carton No. Yards short.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6 745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8 720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9 1,020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11 990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12 960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14 720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16 700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46 1,080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8. I n the premises the plaintiff has suffered loss or damage amounting to </w:t>
      </w:r>
      <w:proofErr w:type="spellStart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Shs</w:t>
      </w:r>
      <w:proofErr w:type="spellEnd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. 15,022/80 being the c.i.f.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value of the said goods found short.”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</w:rPr>
      </w:pPr>
      <w:r w:rsidRPr="001E5097">
        <w:rPr>
          <w:rFonts w:ascii="Times New Roman" w:hAnsi="Times New Roman" w:cs="Times New Roman"/>
          <w:i/>
          <w:color w:val="000000"/>
        </w:rPr>
        <w:t xml:space="preserve">Para. 4 of the </w:t>
      </w:r>
      <w:proofErr w:type="spellStart"/>
      <w:r w:rsidRPr="001E5097">
        <w:rPr>
          <w:rFonts w:ascii="Times New Roman" w:hAnsi="Times New Roman" w:cs="Times New Roman"/>
          <w:i/>
          <w:color w:val="000000"/>
        </w:rPr>
        <w:t>defence</w:t>
      </w:r>
      <w:proofErr w:type="spellEnd"/>
      <w:r w:rsidRPr="001E5097">
        <w:rPr>
          <w:rFonts w:ascii="Times New Roman" w:hAnsi="Times New Roman" w:cs="Times New Roman"/>
          <w:i/>
          <w:color w:val="000000"/>
        </w:rPr>
        <w:t>, which was filed on 18 July 1972, alleges: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“4. In answer to paragraphs five and six of the plaint, the defendant states that the Hague Rules provide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that neither the carrier nor the ship shall be responsible for loss or damage arising or resulting from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inter alia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insufficiency of packing.”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</w:rPr>
      </w:pPr>
      <w:r w:rsidRPr="001E5097">
        <w:rPr>
          <w:rFonts w:ascii="Times New Roman" w:hAnsi="Times New Roman" w:cs="Times New Roman"/>
          <w:i/>
          <w:color w:val="000000"/>
        </w:rPr>
        <w:t xml:space="preserve">On 20 July 1972 a reply to the </w:t>
      </w:r>
      <w:proofErr w:type="spellStart"/>
      <w:r w:rsidRPr="001E5097">
        <w:rPr>
          <w:rFonts w:ascii="Times New Roman" w:hAnsi="Times New Roman" w:cs="Times New Roman"/>
          <w:i/>
          <w:color w:val="000000"/>
        </w:rPr>
        <w:t>defence</w:t>
      </w:r>
      <w:proofErr w:type="spellEnd"/>
      <w:r w:rsidRPr="001E5097">
        <w:rPr>
          <w:rFonts w:ascii="Times New Roman" w:hAnsi="Times New Roman" w:cs="Times New Roman"/>
          <w:i/>
          <w:color w:val="000000"/>
        </w:rPr>
        <w:t xml:space="preserve"> was filed which alleges: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“2. With reference to the contents of paragraph 4 of the </w:t>
      </w:r>
      <w:proofErr w:type="spellStart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defence</w:t>
      </w:r>
      <w:proofErr w:type="spellEnd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the plaintiff particularly denies that there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was any insufficiency of packing as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alleged or at all or that any such insufficiency of packing (which is denied) occasioned or caused the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loss in respect of which this suit is filed. Further and in the alternative the plaintiff avers that having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issued a clean bill of lading in respect of the said 54 cartons without any endorsement thereon relating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to the alleged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lastRenderedPageBreak/>
        <w:t>insufficiency of packing, the defendant is estopped from relying on Article 4, Rule 2 (</w:t>
      </w:r>
      <w:r w:rsidRPr="001E5097">
        <w:rPr>
          <w:rFonts w:ascii="Times New Roman" w:hAnsi="Times New Roman" w:cs="Times New Roman"/>
          <w:i/>
          <w:iCs/>
          <w:color w:val="000000"/>
          <w:sz w:val="20"/>
          <w:szCs w:val="20"/>
        </w:rPr>
        <w:t>n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)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of the Hague Rules as against the plaintiff who is a bona fide transferee for value of the said bill of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lading.”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</w:rPr>
      </w:pPr>
      <w:r w:rsidRPr="001E5097">
        <w:rPr>
          <w:rFonts w:ascii="Times New Roman" w:hAnsi="Times New Roman" w:cs="Times New Roman"/>
          <w:i/>
          <w:color w:val="000000"/>
        </w:rPr>
        <w:t>By the Paramount Clause 1 of the bill, the Hague Rules are made applicable. The rules relating to bills of</w:t>
      </w:r>
      <w:r w:rsidR="001E5097">
        <w:rPr>
          <w:rFonts w:ascii="Times New Roman" w:hAnsi="Times New Roman" w:cs="Times New Roman"/>
          <w:i/>
          <w:color w:val="00000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</w:rPr>
        <w:t>lading are set out in the Schedule to the Carriage of Goods by Sea Act (Cap. 392). Article IV provides for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</w:rPr>
      </w:pPr>
      <w:r w:rsidRPr="001E5097">
        <w:rPr>
          <w:rFonts w:ascii="Times New Roman" w:hAnsi="Times New Roman" w:cs="Times New Roman"/>
          <w:i/>
          <w:color w:val="000000"/>
        </w:rPr>
        <w:t>Rights and Immunities and the relevant rule under it is: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“2. Neither the carrier or the ship shall be responsible for loss or damage arising or resulting from (</w:t>
      </w:r>
      <w:r w:rsidRPr="001E5097">
        <w:rPr>
          <w:rFonts w:ascii="Times New Roman" w:hAnsi="Times New Roman" w:cs="Times New Roman"/>
          <w:i/>
          <w:iCs/>
          <w:color w:val="000000"/>
          <w:sz w:val="20"/>
          <w:szCs w:val="20"/>
        </w:rPr>
        <w:t>n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) of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insufficiency of packing.”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At the hearing on 4 July 1974, the only evidence called was that of </w:t>
      </w:r>
      <w:proofErr w:type="spellStart"/>
      <w:r>
        <w:rPr>
          <w:rFonts w:ascii="Times New Roman" w:hAnsi="Times New Roman" w:cs="Times New Roman"/>
          <w:color w:val="000000"/>
        </w:rPr>
        <w:t>Nathoo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Meghji</w:t>
      </w:r>
      <w:proofErr w:type="spellEnd"/>
      <w:r>
        <w:rPr>
          <w:rFonts w:ascii="Times New Roman" w:hAnsi="Times New Roman" w:cs="Times New Roman"/>
          <w:color w:val="000000"/>
        </w:rPr>
        <w:t xml:space="preserve"> Shah, a director of the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 company, who testified how the plaintiff bought the goods as per the bill through </w:t>
      </w:r>
      <w:proofErr w:type="spellStart"/>
      <w:r>
        <w:rPr>
          <w:rFonts w:ascii="Times New Roman" w:hAnsi="Times New Roman" w:cs="Times New Roman"/>
          <w:color w:val="000000"/>
        </w:rPr>
        <w:t>Nimmo</w:t>
      </w:r>
      <w:proofErr w:type="spellEnd"/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General Agencies Ltd. in Nairobi who have an open import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>. On 19 June 1971 he received an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examination voucher from East African </w:t>
      </w:r>
      <w:proofErr w:type="spellStart"/>
      <w:r>
        <w:rPr>
          <w:rFonts w:ascii="Times New Roman" w:hAnsi="Times New Roman" w:cs="Times New Roman"/>
          <w:color w:val="000000"/>
        </w:rPr>
        <w:t>Harbours</w:t>
      </w:r>
      <w:proofErr w:type="spellEnd"/>
      <w:r>
        <w:rPr>
          <w:rFonts w:ascii="Times New Roman" w:hAnsi="Times New Roman" w:cs="Times New Roman"/>
          <w:color w:val="000000"/>
        </w:rPr>
        <w:t xml:space="preserve"> stating that the goods had arrived in a damaged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condition. When he examined the cartons he found that 8 of them had been broken into apparently during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voyage and materials were missing as per paras. 7 and 8 of the plaint.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After the close of the plaintiff’s case, Mr. M. </w:t>
      </w:r>
      <w:proofErr w:type="spellStart"/>
      <w:r>
        <w:rPr>
          <w:rFonts w:ascii="Times New Roman" w:hAnsi="Times New Roman" w:cs="Times New Roman"/>
          <w:color w:val="000000"/>
        </w:rPr>
        <w:t>Satchu</w:t>
      </w:r>
      <w:proofErr w:type="spellEnd"/>
      <w:r>
        <w:rPr>
          <w:rFonts w:ascii="Times New Roman" w:hAnsi="Times New Roman" w:cs="Times New Roman"/>
          <w:color w:val="000000"/>
        </w:rPr>
        <w:t xml:space="preserve"> for the defendant, applied to amend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adding the following para. 4A: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“4A. 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>that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the goods were packed in cartons, and that the goods were deemed to be insufficiently packed, if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so packed, and that the defendant was not to be responsible in the event of loss or damage to such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goods in terms of clause 23 of the bill of lading.”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Although objection was taken to this late application to amend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this was not persisted in at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resumed hearing on 18 July. Clause 23 of the bill provides: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“23. </w:t>
      </w:r>
      <w:r w:rsidRPr="001E5097">
        <w:rPr>
          <w:rFonts w:ascii="Times New Roman" w:hAnsi="Times New Roman" w:cs="Times New Roman"/>
          <w:i/>
          <w:iCs/>
          <w:color w:val="000000"/>
          <w:sz w:val="20"/>
          <w:szCs w:val="20"/>
        </w:rPr>
        <w:t>PACKING OF GOODS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: The carrier specifically reserves to himself all rights and immunities to which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he is entitled by Article 4, Section 2 of </w:t>
      </w:r>
      <w:proofErr w:type="gramStart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the</w:t>
      </w:r>
      <w:proofErr w:type="gramEnd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Hague Rules, Section 608 H.G.B., or article 91, para. 42 of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the Belgian Law, and other similar legislation where goods have been unpacked or packed in bales or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trusses which are not cross hooped or in single hessian, jute or cotton bags: or in secondhand packages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or other containers previously used: or goods packed in cartons, paper or cardboard containers: or any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other insubstantial packaging whatsoever which needs a standard degree of care usually unobtainable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with normal </w:t>
      </w:r>
      <w:proofErr w:type="spellStart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labour</w:t>
      </w:r>
      <w:proofErr w:type="spellEnd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irrespective of whether such packaging is or is not customary in that particular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trade and irrespective of whether the goods have been described herein as being in apparent good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order and condition and all other </w:t>
      </w:r>
      <w:proofErr w:type="spellStart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defences</w:t>
      </w:r>
      <w:proofErr w:type="spellEnd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available under Article 4, Section 2.”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elected not to call evidence. Mr. </w:t>
      </w:r>
      <w:proofErr w:type="spellStart"/>
      <w:r>
        <w:rPr>
          <w:rFonts w:ascii="Times New Roman" w:hAnsi="Times New Roman" w:cs="Times New Roman"/>
          <w:color w:val="000000"/>
        </w:rPr>
        <w:t>Inamdar</w:t>
      </w:r>
      <w:proofErr w:type="spellEnd"/>
      <w:r>
        <w:rPr>
          <w:rFonts w:ascii="Times New Roman" w:hAnsi="Times New Roman" w:cs="Times New Roman"/>
          <w:color w:val="000000"/>
        </w:rPr>
        <w:t>, for the plaintiff, then made his submissions. He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relied heavily on </w:t>
      </w:r>
      <w:r>
        <w:rPr>
          <w:rFonts w:ascii="Times New Roman" w:hAnsi="Times New Roman" w:cs="Times New Roman"/>
          <w:i/>
          <w:iCs/>
          <w:color w:val="000000"/>
        </w:rPr>
        <w:t>Silver v. Ocean Steamship Co</w:t>
      </w:r>
      <w:r>
        <w:rPr>
          <w:rFonts w:ascii="Times New Roman" w:hAnsi="Times New Roman" w:cs="Times New Roman"/>
          <w:color w:val="000000"/>
        </w:rPr>
        <w:t>., [1930] 1 K.B. 416, the headnote of which reads: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“The incorporation of the provisions of the Carriage of Goods by Sea Act, 1924, in a bill of lading stating that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the goods have been ‘shipped in apparent good order and condition’ does not affect the obligation of the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shipowner</w:t>
      </w:r>
      <w:proofErr w:type="spellEnd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to deliver the goods in the like good order and condition unless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he can prove facts bringing him within an exception excluding his liability, or can show that damage has been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occasioned through some cause which was not apparent on a reasonable examination of the goods when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shipped.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A </w:t>
      </w:r>
      <w:proofErr w:type="spellStart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shipowner</w:t>
      </w:r>
      <w:proofErr w:type="spellEnd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who signs a bill of lading for goods ‘shipped in apparent good order and condition’ is estopped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as against the holder of the bill of lading from alleging that the goods, in respect of matters externally visible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on a reasonable examination, were not in good condition when shipped; and (per </w:t>
      </w:r>
      <w:proofErr w:type="spellStart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Scrutton</w:t>
      </w:r>
      <w:proofErr w:type="spellEnd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and </w:t>
      </w:r>
      <w:proofErr w:type="spellStart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Slesser</w:t>
      </w:r>
      <w:proofErr w:type="spellEnd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, L.JJ.)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is further estopped from alleging that by reason of the particular nature and shape of the containers in which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the goods are placed damage to the goods has been caused by ‘insufficiency of packing’ within Art. </w:t>
      </w:r>
      <w:proofErr w:type="gramStart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IV.,</w:t>
      </w:r>
      <w:proofErr w:type="gramEnd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r. 2,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of the Schedule to the Carriage of Goods by Sea Act, 1924, where the nature and shape of the containers were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apparent on the shipment of the goods.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Query, per Greer, L.J., whether the statement in a bill of lading that goods have been ‘shipped in apparent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good order and condition’ has any reference to original defects of quality or type.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fact that the holder of a bill of lading containing the statement that the goods were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‘shipped in apparent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good order and condition’ takes it without objection as a clean bill of lading is sufficient evidence that he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relied upon it.”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instant case there was no evidence that the cartons were shipped in a damaged condition. If they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been, the defendant </w:t>
      </w:r>
      <w:proofErr w:type="spellStart"/>
      <w:r>
        <w:rPr>
          <w:rFonts w:ascii="Times New Roman" w:hAnsi="Times New Roman" w:cs="Times New Roman"/>
          <w:color w:val="000000"/>
        </w:rPr>
        <w:t>shipowner</w:t>
      </w:r>
      <w:proofErr w:type="spellEnd"/>
      <w:r>
        <w:rPr>
          <w:rFonts w:ascii="Times New Roman" w:hAnsi="Times New Roman" w:cs="Times New Roman"/>
          <w:color w:val="000000"/>
        </w:rPr>
        <w:t xml:space="preserve"> should have made an endorsement on the bill that the goods had been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insufficiently packed. The plaintiff as transferee for value bought the goods on the document subsequent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shipment and it has to rely on it. Per </w:t>
      </w:r>
      <w:proofErr w:type="spellStart"/>
      <w:r>
        <w:rPr>
          <w:rFonts w:ascii="Times New Roman" w:hAnsi="Times New Roman" w:cs="Times New Roman"/>
          <w:color w:val="000000"/>
        </w:rPr>
        <w:t>Scrutton</w:t>
      </w:r>
      <w:proofErr w:type="spellEnd"/>
      <w:r>
        <w:rPr>
          <w:rFonts w:ascii="Times New Roman" w:hAnsi="Times New Roman" w:cs="Times New Roman"/>
          <w:color w:val="000000"/>
        </w:rPr>
        <w:t>, L.J. at p. 425: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second point of law is this. It has been decided by Channel, J.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Compania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Naviera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Vasconzada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v.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Churchill &amp; Sim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(3) and affirmed by the Court of Appeal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Brandt v. Liverpool, Brazil and River Plate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Steam Navigation Co</w:t>
      </w:r>
      <w:r>
        <w:rPr>
          <w:rFonts w:ascii="Times New Roman" w:hAnsi="Times New Roman" w:cs="Times New Roman"/>
          <w:color w:val="000000"/>
          <w:sz w:val="20"/>
          <w:szCs w:val="20"/>
        </w:rPr>
        <w:t>. (4), that the statement as to ‘apparent good order and condition’ estops (as against the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person taking the bill of lading for value or presenting it to get delivery of the goods)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shipowner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proving that the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goods were not in apparent good order and condition when shipped and therefore from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alleging that there were at shipment external defects in them which were apparent to reasonable inspection.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Art. III., r. 4 of the Carriage of Goods Act, 1924, which says the bill shall be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evidence (not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prima</w:t>
      </w:r>
      <w:r w:rsidR="001E509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facie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evidence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only</w:t>
      </w:r>
      <w:r>
        <w:rPr>
          <w:rFonts w:ascii="Times New Roman" w:hAnsi="Times New Roman" w:cs="Times New Roman"/>
          <w:color w:val="000000"/>
          <w:sz w:val="20"/>
          <w:szCs w:val="20"/>
        </w:rPr>
        <w:t>, liable to be contradicted), can hardly have been meant to render the above decisions</w:t>
      </w:r>
      <w:r w:rsidR="001E509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inapplicable. For the information relates to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shipowner’s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knowledge; he is to say what is ‘apparent’ that is,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visible by reasonable inspection to himself and his servants, and on the faith of that statement other people are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act, and if it is wrong, act to their prejudice.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 am of opinion that r. 4 of Art. III, has not the effect of allowing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shipowner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prove that goods which he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has stated to be in apparent good order and condition on shipment were not really in apparent good order and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condition as against people who accepted the bill of lading on the faith of the statement contained in it.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Apparent good order and condition was defined by Sir R. Phillimore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The Peter der Grosse </w:t>
      </w:r>
      <w:r>
        <w:rPr>
          <w:rFonts w:ascii="Times New Roman" w:hAnsi="Times New Roman" w:cs="Times New Roman"/>
          <w:color w:val="000000"/>
          <w:sz w:val="20"/>
          <w:szCs w:val="20"/>
        </w:rPr>
        <w:t>(1) as meaning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‘apparently, and so far as met the eye, and externally, they were placed in good order on board this ship’.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If so, on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Churchill &amp; Sim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decision (2),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shipowner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not allowed to reduce his liability by proving or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suggesting contrary to his statement in the bill that the goods in respect of matters externally reasonably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visible were not in good condition when shipped.”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cartons were received in apparent good order and condition and by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issuing a clean bill of lading the defendant is in the absence of evidence to the contrary, estopped from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denying this. Mr. </w:t>
      </w:r>
      <w:proofErr w:type="spellStart"/>
      <w:r>
        <w:rPr>
          <w:rFonts w:ascii="Times New Roman" w:hAnsi="Times New Roman" w:cs="Times New Roman"/>
          <w:color w:val="000000"/>
        </w:rPr>
        <w:t>Inamdar</w:t>
      </w:r>
      <w:proofErr w:type="spellEnd"/>
      <w:r>
        <w:rPr>
          <w:rFonts w:ascii="Times New Roman" w:hAnsi="Times New Roman" w:cs="Times New Roman"/>
          <w:color w:val="000000"/>
        </w:rPr>
        <w:t xml:space="preserve"> contends that the mere fact that the goods are packed in cartons does not of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itself render them insufficiently packed. His answers to para. 4A of the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are: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(1) 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>Unless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the bill expressly and categorically states that the goods are badly or insufficiently packed, it is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a clean bill of lading. In </w:t>
      </w:r>
      <w:proofErr w:type="spellStart"/>
      <w:r w:rsidRPr="001E5097">
        <w:rPr>
          <w:rFonts w:ascii="Times New Roman" w:hAnsi="Times New Roman" w:cs="Times New Roman"/>
          <w:i/>
          <w:iCs/>
          <w:color w:val="000000"/>
          <w:sz w:val="20"/>
          <w:szCs w:val="20"/>
        </w:rPr>
        <w:t>Sasson</w:t>
      </w:r>
      <w:proofErr w:type="spellEnd"/>
      <w:r w:rsidRPr="001E5097">
        <w:rPr>
          <w:rFonts w:ascii="Times New Roman" w:hAnsi="Times New Roman" w:cs="Times New Roman"/>
          <w:i/>
          <w:iCs/>
          <w:color w:val="000000"/>
          <w:sz w:val="20"/>
          <w:szCs w:val="20"/>
        </w:rPr>
        <w:t>: British Shipping Laws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, Vol. V, p. 24, a clean bill of lading is stated to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be “one which bears no superimposed clauses expressly declaring a defective condition of the goods or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packaging”. A clause which does not expressly state that the goods or packaging are unsatisfactory,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e.g. “second-hand cases”, does not convert a clean into an unclean bill of lading. There is nothing in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clause 23 which expressly states that the packaging is insufficient.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(2) Clause 23, when properly </w:t>
      </w:r>
      <w:proofErr w:type="spellStart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analysed</w:t>
      </w:r>
      <w:proofErr w:type="spellEnd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, does not bear meaning ascribed to it in the </w:t>
      </w:r>
      <w:proofErr w:type="spellStart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defence</w:t>
      </w:r>
      <w:proofErr w:type="spellEnd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; nor does it</w:t>
      </w:r>
      <w:r w:rsid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have the effect of rendering carton-packed goods to be insufficiently packed.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Restricting oneself to cartons it says that where goods are packed in cartons the carrier reserves to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himself all rights to which he is entitled under the various provisions of law referred to irrespective of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the goods are described in the bill as being in good order and condition. So paraphrased, there is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suggestion in clause 23 that if goods are packed in cartons they must not be deemed ipso facto to be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insufficiently packed.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Article IV, rule 2 (</w:t>
      </w:r>
      <w:r>
        <w:rPr>
          <w:rFonts w:ascii="Times New Roman" w:hAnsi="Times New Roman" w:cs="Times New Roman"/>
          <w:i/>
          <w:iCs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) can be relied on by the carrier: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must be evidence that carton-packing amounts to insufficient packing and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>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must establish that the loss or damage complained of arose out of or resulted from insufficiency of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packing. The onus is on the defendant to bring himself within the scope of the exception: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Carver: Carriage by Sea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12th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Edn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Vol. 1, p. 132. The defendant has not attempted to do so;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(3)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if clause 23 means that the mere fact of packing in cartons amounts to insufficient packing then it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rendered null and void by Article III, r. 8 which provides: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“Any clause, covenant or agreement in a contract of carriage relieving the carrier or the ship from liability for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loss or damage to or in connection with goods arising from negligence, fault or failure in the duties and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obligations provided in this Article or lessening such liability otherwise than as provided in these Rules, shall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null and void and of no effect.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 benefit of insurance or similar clause shall be deemed to be a clause relieving the carrier from liability.”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British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Imex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Industries v. Midland Bank</w:t>
      </w:r>
      <w:r>
        <w:rPr>
          <w:rFonts w:ascii="Times New Roman" w:hAnsi="Times New Roman" w:cs="Times New Roman"/>
          <w:color w:val="000000"/>
        </w:rPr>
        <w:t>, [1958] 1 All E.R. 264, it was held that a clause stipulating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carrier should not be responsible for delivery unless the goods were marked in a particular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manner (e.g. by oil paint) went further in lessening the carriers liability Article IV, r. 2 (</w:t>
      </w:r>
      <w:r>
        <w:rPr>
          <w:rFonts w:ascii="Times New Roman" w:hAnsi="Times New Roman" w:cs="Times New Roman"/>
          <w:i/>
          <w:iCs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) and to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extent was void.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Satchu’s</w:t>
      </w:r>
      <w:proofErr w:type="spellEnd"/>
      <w:r>
        <w:rPr>
          <w:rFonts w:ascii="Times New Roman" w:hAnsi="Times New Roman" w:cs="Times New Roman"/>
          <w:color w:val="000000"/>
        </w:rPr>
        <w:t xml:space="preserve"> reply is that the defendant does not have to prove that the goods are insufficiently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packed as the parties have agreed by clause 23 which is one of the conditions of the bill that they are. The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bill is a contractual document which must be read as a whole with Article IV, r. 2 (</w:t>
      </w:r>
      <w:r>
        <w:rPr>
          <w:rFonts w:ascii="Times New Roman" w:hAnsi="Times New Roman" w:cs="Times New Roman"/>
          <w:i/>
          <w:iCs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) and the plaintiff as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assignee takes it subject to all its rights and liabilities. Mr. </w:t>
      </w:r>
      <w:proofErr w:type="spellStart"/>
      <w:r>
        <w:rPr>
          <w:rFonts w:ascii="Times New Roman" w:hAnsi="Times New Roman" w:cs="Times New Roman"/>
          <w:color w:val="000000"/>
        </w:rPr>
        <w:t>Satchu</w:t>
      </w:r>
      <w:proofErr w:type="spellEnd"/>
      <w:r>
        <w:rPr>
          <w:rFonts w:ascii="Times New Roman" w:hAnsi="Times New Roman" w:cs="Times New Roman"/>
          <w:color w:val="000000"/>
        </w:rPr>
        <w:t xml:space="preserve"> distinguishes </w:t>
      </w:r>
      <w:r>
        <w:rPr>
          <w:rFonts w:ascii="Times New Roman" w:hAnsi="Times New Roman" w:cs="Times New Roman"/>
          <w:i/>
          <w:iCs/>
          <w:color w:val="000000"/>
        </w:rPr>
        <w:t xml:space="preserve">Silver’s </w:t>
      </w:r>
      <w:r>
        <w:rPr>
          <w:rFonts w:ascii="Times New Roman" w:hAnsi="Times New Roman" w:cs="Times New Roman"/>
          <w:color w:val="000000"/>
        </w:rPr>
        <w:t>case where there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 similar clause 23. There was a clean bill of lading and no defect in the goods was apparent on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shipment. The words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“shipped in apparent good order and condition” are not contractual but they contain a representation of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fact which may create an estoppel in favour of a purchaser relying on the words in the bill </w:t>
      </w:r>
      <w:r>
        <w:rPr>
          <w:rFonts w:ascii="Times New Roman" w:hAnsi="Times New Roman" w:cs="Times New Roman"/>
          <w:color w:val="000000"/>
        </w:rPr>
        <w:lastRenderedPageBreak/>
        <w:t>of lading and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acting on them to his detriment: per Greer, L.J. in </w:t>
      </w:r>
      <w:r>
        <w:rPr>
          <w:rFonts w:ascii="Times New Roman" w:hAnsi="Times New Roman" w:cs="Times New Roman"/>
          <w:i/>
          <w:iCs/>
          <w:color w:val="000000"/>
        </w:rPr>
        <w:t xml:space="preserve">Silver’s </w:t>
      </w:r>
      <w:r>
        <w:rPr>
          <w:rFonts w:ascii="Times New Roman" w:hAnsi="Times New Roman" w:cs="Times New Roman"/>
          <w:color w:val="000000"/>
        </w:rPr>
        <w:t xml:space="preserve">case at p. 432. See also </w:t>
      </w:r>
      <w:r>
        <w:rPr>
          <w:rFonts w:ascii="Times New Roman" w:hAnsi="Times New Roman" w:cs="Times New Roman"/>
          <w:i/>
          <w:iCs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Skarp</w:t>
      </w:r>
      <w:proofErr w:type="spellEnd"/>
      <w:r>
        <w:rPr>
          <w:rFonts w:ascii="Times New Roman" w:hAnsi="Times New Roman" w:cs="Times New Roman"/>
          <w:color w:val="000000"/>
        </w:rPr>
        <w:t>, [1935] All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E.R. Rep. 560. Here the defendant is relying on the words of the contract. In </w:t>
      </w:r>
      <w:r>
        <w:rPr>
          <w:rFonts w:ascii="Times New Roman" w:hAnsi="Times New Roman" w:cs="Times New Roman"/>
          <w:i/>
          <w:iCs/>
          <w:color w:val="000000"/>
        </w:rPr>
        <w:t>Gould v. South Eastern &amp;</w:t>
      </w:r>
      <w:r w:rsidR="001E509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Chatham Railway Co</w:t>
      </w:r>
      <w:r>
        <w:rPr>
          <w:rFonts w:ascii="Times New Roman" w:hAnsi="Times New Roman" w:cs="Times New Roman"/>
          <w:color w:val="000000"/>
        </w:rPr>
        <w:t>., [1920] 2 K.B. 186, it was held that where goods are delivered to a common carrier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carriage insufficiently packed, and are damaged in the course of transit, the carrier’s knowledge of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their condition at the time of their receipt will not preclude him from setting up as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that the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 was due to insufficient packing.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Silver’s </w:t>
      </w:r>
      <w:r>
        <w:rPr>
          <w:rFonts w:ascii="Times New Roman" w:hAnsi="Times New Roman" w:cs="Times New Roman"/>
          <w:color w:val="000000"/>
        </w:rPr>
        <w:t xml:space="preserve">case, Slessor, L.J. at p. 441 distinguished </w:t>
      </w:r>
      <w:r>
        <w:rPr>
          <w:rFonts w:ascii="Times New Roman" w:hAnsi="Times New Roman" w:cs="Times New Roman"/>
          <w:i/>
          <w:iCs/>
          <w:color w:val="000000"/>
        </w:rPr>
        <w:t xml:space="preserve">Gould’s </w:t>
      </w:r>
      <w:r>
        <w:rPr>
          <w:rFonts w:ascii="Times New Roman" w:hAnsi="Times New Roman" w:cs="Times New Roman"/>
          <w:color w:val="000000"/>
        </w:rPr>
        <w:t>case when he said that the clean bill of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lading, once the defect in packing is apparent, took it out of the ambit of that case. The question remains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 bill a clean bill?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case most </w:t>
      </w:r>
      <w:proofErr w:type="spellStart"/>
      <w:r>
        <w:rPr>
          <w:rFonts w:ascii="Times New Roman" w:hAnsi="Times New Roman" w:cs="Times New Roman"/>
          <w:color w:val="000000"/>
        </w:rPr>
        <w:t>favourable</w:t>
      </w:r>
      <w:proofErr w:type="spellEnd"/>
      <w:r>
        <w:rPr>
          <w:rFonts w:ascii="Times New Roman" w:hAnsi="Times New Roman" w:cs="Times New Roman"/>
          <w:color w:val="000000"/>
        </w:rPr>
        <w:t xml:space="preserve"> to Mr. </w:t>
      </w:r>
      <w:proofErr w:type="spellStart"/>
      <w:r>
        <w:rPr>
          <w:rFonts w:ascii="Times New Roman" w:hAnsi="Times New Roman" w:cs="Times New Roman"/>
          <w:color w:val="000000"/>
        </w:rPr>
        <w:t>Satchu’s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is </w:t>
      </w:r>
      <w:r>
        <w:rPr>
          <w:rFonts w:ascii="Times New Roman" w:hAnsi="Times New Roman" w:cs="Times New Roman"/>
          <w:i/>
          <w:iCs/>
          <w:color w:val="000000"/>
        </w:rPr>
        <w:t>Canada &amp; Dominion Sugar Co. v. Canadian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National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West Indies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Steamships </w:t>
      </w:r>
      <w:r>
        <w:rPr>
          <w:rFonts w:ascii="Times New Roman" w:hAnsi="Times New Roman" w:cs="Times New Roman"/>
          <w:color w:val="000000"/>
        </w:rPr>
        <w:t>80 LI. L. Rep. 13 where it was held:</w:t>
      </w:r>
    </w:p>
    <w:p w:rsidR="000111D9" w:rsidRPr="001E5097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“that the statement in the bill of lading that the goods had been ‘received in apparent good order and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condition’ was clearly qualified by the marginal indorsement that it had been ‘signed under guarantee to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produce ship’s clean receipt,’ and that therefore the </w:t>
      </w:r>
      <w:proofErr w:type="spellStart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shipowners</w:t>
      </w:r>
      <w:proofErr w:type="spellEnd"/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were not estopped from adducing evidence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that the goods were damaged before shipment; that it was accordingly unnecessary to consider the effect of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Clause 27; and that there being no demand for bill of lading by the shipper Art. III (3) of the Ordinance of</w:t>
      </w:r>
      <w:r w:rsidR="001E5097" w:rsidRPr="001E509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1E5097">
        <w:rPr>
          <w:rFonts w:ascii="Times New Roman" w:hAnsi="Times New Roman" w:cs="Times New Roman"/>
          <w:i/>
          <w:color w:val="000000"/>
          <w:sz w:val="20"/>
          <w:szCs w:val="20"/>
        </w:rPr>
        <w:t>British Guiana did not apply.”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But there the endorsement was stamped on the face of the bill and per Lord Wright at p. 15: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“That was a stamped clause clear and obvious on the face of the document and reasonably conveying to any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business man that if the ship’s receipt was not clean the statement in the bill of lading as to the apparent order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condition could not be taken to be unqualified. If the ship’s receipt was not clean the bill of lading would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not be a clean bill of lading with the result that the estoppel which would have been set up by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indorsee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against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shipowner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bill of lading had been a clean bill of lading and the necessary conditions of</w:t>
      </w:r>
      <w:r w:rsidR="001E50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estoppel had been satisfied, could not have been relied on.”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my mind that is a far cry from the small print of clause 23 tucked away on the back of the bill. It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 that the bill is a clean bill of lading and the defendant is estopped.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Further in the circumstances of this case I do not think that the defendant can rely as a matter of law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exception in Article IV, r. 2 (</w:t>
      </w:r>
      <w:r>
        <w:rPr>
          <w:rFonts w:ascii="Times New Roman" w:hAnsi="Times New Roman" w:cs="Times New Roman"/>
          <w:i/>
          <w:iCs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) without adducing evidence that the loss or damage to the </w:t>
      </w:r>
      <w:bookmarkStart w:id="0" w:name="_GoBack"/>
      <w:bookmarkEnd w:id="0"/>
      <w:r w:rsidR="00A64165">
        <w:rPr>
          <w:rFonts w:ascii="Times New Roman" w:hAnsi="Times New Roman" w:cs="Times New Roman"/>
          <w:color w:val="000000"/>
        </w:rPr>
        <w:t>plaintiff’s</w:t>
      </w:r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goods arose or resulted from insufficiency of packing. This means that I accept Mr. </w:t>
      </w:r>
      <w:proofErr w:type="spellStart"/>
      <w:r>
        <w:rPr>
          <w:rFonts w:ascii="Times New Roman" w:hAnsi="Times New Roman" w:cs="Times New Roman"/>
          <w:color w:val="000000"/>
        </w:rPr>
        <w:t>Inamdar’s</w:t>
      </w:r>
      <w:proofErr w:type="spellEnd"/>
      <w:r w:rsidR="001E50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construction of clause 23. There will be judgment for the plaintiff as prayed.</w:t>
      </w:r>
    </w:p>
    <w:p w:rsidR="000111D9" w:rsidRDefault="000111D9" w:rsidP="001E50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0111D9" w:rsidRDefault="000111D9" w:rsidP="00011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0111D9" w:rsidRDefault="000111D9" w:rsidP="00011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Chohan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Bryson,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Inamdar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Bowyer</w:t>
      </w:r>
      <w:r>
        <w:rPr>
          <w:rFonts w:ascii="Times New Roman" w:hAnsi="Times New Roman" w:cs="Times New Roman"/>
          <w:color w:val="000000"/>
        </w:rPr>
        <w:t>, Mombasa)</w:t>
      </w:r>
    </w:p>
    <w:p w:rsidR="000111D9" w:rsidRDefault="000111D9" w:rsidP="00011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3278A0" w:rsidRDefault="000111D9" w:rsidP="000111D9">
      <w:r>
        <w:rPr>
          <w:rFonts w:ascii="Times New Roman" w:hAnsi="Times New Roman" w:cs="Times New Roman"/>
          <w:i/>
          <w:iCs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Satchu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Atkinson,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Cleasby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Satchu</w:t>
      </w:r>
      <w:proofErr w:type="spellEnd"/>
      <w:r>
        <w:rPr>
          <w:rFonts w:ascii="Times New Roman" w:hAnsi="Times New Roman" w:cs="Times New Roman"/>
          <w:color w:val="000000"/>
        </w:rPr>
        <w:t>, Mombasa)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D9"/>
    <w:rsid w:val="000111D9"/>
    <w:rsid w:val="001E5097"/>
    <w:rsid w:val="003278A0"/>
    <w:rsid w:val="00A6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54223-BBBA-40E3-9108-B1FBB236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2574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2018-07-06T11:59:00Z</dcterms:created>
  <dcterms:modified xsi:type="dcterms:W3CDTF">2018-07-10T05:22:00Z</dcterms:modified>
</cp:coreProperties>
</file>