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B7" w:rsidRDefault="00067EB7" w:rsidP="001A1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Bagatagira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August 2005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4/04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Court of Appeal had adequately discharged its duty.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Murd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er – Deceased cut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Whether evidence proved that the appellant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inflicted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fatal injuries.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procedure – Constitutional law – Sentencing – Mandatory death sentences – Whether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death sentences were constitutional.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Alibi – Identification – Appellant claiming to have been in Tanzania – Whether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prosecution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disproved the alibi.</w:t>
      </w:r>
    </w:p>
    <w:p w:rsidR="00067EB7" w:rsidRDefault="00E00A28" w:rsidP="00E00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JJSC: </w:t>
      </w:r>
      <w:r>
        <w:rPr>
          <w:rFonts w:ascii="Times New Roman" w:hAnsi="Times New Roman" w:cs="Times New Roman"/>
          <w:color w:val="000000"/>
        </w:rPr>
        <w:t>This second appeal is from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Court of Appeal upholding the conviction by the High Court of the appellant for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murder.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facts of the case are simple. The appellant, </w:t>
      </w:r>
      <w:proofErr w:type="spellStart"/>
      <w:r>
        <w:rPr>
          <w:rFonts w:ascii="Times New Roman" w:hAnsi="Times New Roman" w:cs="Times New Roman"/>
          <w:color w:val="000000"/>
        </w:rPr>
        <w:t>Bagatagira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Mujuni</w:t>
      </w:r>
      <w:proofErr w:type="spellEnd"/>
      <w:r>
        <w:rPr>
          <w:rFonts w:ascii="Times New Roman" w:hAnsi="Times New Roman" w:cs="Times New Roman"/>
          <w:color w:val="000000"/>
        </w:rPr>
        <w:t xml:space="preserve">, and the deceased, </w:t>
      </w:r>
      <w:proofErr w:type="spellStart"/>
      <w:r>
        <w:rPr>
          <w:rFonts w:ascii="Times New Roman" w:hAnsi="Times New Roman" w:cs="Times New Roman"/>
          <w:color w:val="000000"/>
        </w:rPr>
        <w:t>Byandagara</w:t>
      </w:r>
      <w:proofErr w:type="spellEnd"/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Moses, lived in </w:t>
      </w:r>
      <w:proofErr w:type="spellStart"/>
      <w:r>
        <w:rPr>
          <w:rFonts w:ascii="Times New Roman" w:hAnsi="Times New Roman" w:cs="Times New Roman"/>
          <w:color w:val="000000"/>
        </w:rPr>
        <w:t>Kyempisi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Mbarara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 Apparently the appellant owed the deceased some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money. On the same village, the father of the appellant engaged </w:t>
      </w:r>
      <w:proofErr w:type="spellStart"/>
      <w:r>
        <w:rPr>
          <w:rFonts w:ascii="Times New Roman" w:hAnsi="Times New Roman" w:cs="Times New Roman"/>
          <w:color w:val="000000"/>
        </w:rPr>
        <w:t>Bagorogonza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>) to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distil a local brew called </w:t>
      </w:r>
      <w:proofErr w:type="spellStart"/>
      <w:r>
        <w:rPr>
          <w:rFonts w:ascii="Times New Roman" w:hAnsi="Times New Roman" w:cs="Times New Roman"/>
          <w:color w:val="000000"/>
        </w:rPr>
        <w:t>Enguli</w:t>
      </w:r>
      <w:proofErr w:type="spellEnd"/>
      <w:r>
        <w:rPr>
          <w:rFonts w:ascii="Times New Roman" w:hAnsi="Times New Roman" w:cs="Times New Roman"/>
          <w:color w:val="000000"/>
        </w:rPr>
        <w:t xml:space="preserve"> for the former. On 1 July 1999, at 1 pm, the appellant and the deceased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went to where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was distilling </w:t>
      </w:r>
      <w:proofErr w:type="spellStart"/>
      <w:r>
        <w:rPr>
          <w:rFonts w:ascii="Times New Roman" w:hAnsi="Times New Roman" w:cs="Times New Roman"/>
          <w:color w:val="000000"/>
        </w:rPr>
        <w:t>Enguli</w:t>
      </w:r>
      <w:proofErr w:type="spellEnd"/>
      <w:r>
        <w:rPr>
          <w:rFonts w:ascii="Times New Roman" w:hAnsi="Times New Roman" w:cs="Times New Roman"/>
          <w:color w:val="000000"/>
        </w:rPr>
        <w:t>. They appear to have arrived at the same time.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was carrying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 After a while, the deceased demanded that the appellant pay the debt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and then. Apparently the latter did not have money, so he promised to pay it the next day.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 persisted in demanding the money. At that stage,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left the two and proceeded to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attend to the </w:t>
      </w:r>
      <w:proofErr w:type="spellStart"/>
      <w:r>
        <w:rPr>
          <w:rFonts w:ascii="Times New Roman" w:hAnsi="Times New Roman" w:cs="Times New Roman"/>
          <w:color w:val="000000"/>
        </w:rPr>
        <w:t>Enguli</w:t>
      </w:r>
      <w:proofErr w:type="spellEnd"/>
      <w:r>
        <w:rPr>
          <w:rFonts w:ascii="Times New Roman" w:hAnsi="Times New Roman" w:cs="Times New Roman"/>
          <w:color w:val="000000"/>
        </w:rPr>
        <w:t xml:space="preserve"> distillation by replenishing the fire. As he was proceeding, he heard the </w:t>
      </w:r>
      <w:r w:rsidR="00E00A28">
        <w:rPr>
          <w:rFonts w:ascii="Times New Roman" w:hAnsi="Times New Roman" w:cs="Times New Roman"/>
          <w:color w:val="000000"/>
        </w:rPr>
        <w:t>decease</w:t>
      </w:r>
      <w:r>
        <w:rPr>
          <w:rFonts w:ascii="Times New Roman" w:hAnsi="Times New Roman" w:cs="Times New Roman"/>
          <w:color w:val="000000"/>
        </w:rPr>
        <w:t>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groan with pain and when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looked back at the two, he noticed that the deceased lay on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 while the appellant had raised one of his arms up poised to cut the deceased with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then cut the deceased.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ran away from the scene and proceeded to inform members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family of the deceased about what he had observed.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the appellant was fleeing from the scene, while carrying his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, he met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Richard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(PW2). When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inquired of the appellant about what had happened, the appellant told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“to leave him alone” as he continued running away from the scene. At the </w:t>
      </w:r>
      <w:proofErr w:type="spellStart"/>
      <w:r>
        <w:rPr>
          <w:rFonts w:ascii="Times New Roman" w:hAnsi="Times New Roman" w:cs="Times New Roman"/>
          <w:color w:val="000000"/>
        </w:rPr>
        <w:t>Enguli</w:t>
      </w:r>
      <w:proofErr w:type="spellEnd"/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Distillery,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found the deceased lying dead in a pool of blood, while more blood was oozing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from a cut wound at the back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Gideon Safari, (PW3), a teacher and village mate of deceased and the appellant, after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incident, the appellant disappeared from the village until he was arrested in Tanzania, ten months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his trial, the appellant put up an alibi to the effect that he was not at the scene on the day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was murdered, claiming that he had gone to Tanzania on 27 June 1999 in search of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employment. The learned trial Judge rejected that alibi and convicted and sentenced him to death. Upon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the Court of Appeal based on six grounds, the conviction and the sentence of death were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confirmed by that court. From that confirmation the appellant has preferred this appeal which was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originally founded upon three grounds formulated by his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  <w:r>
        <w:rPr>
          <w:rFonts w:ascii="Times New Roman" w:hAnsi="Times New Roman" w:cs="Times New Roman"/>
          <w:color w:val="000000"/>
        </w:rPr>
        <w:t>. With leave of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Ssempebwa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Advocates, also counsel for the appellant,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 supplementary ground of appeal in respect of mitigation of the sentence of death.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lodged a written statement of his arguments in support of the appeal. 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abandoned the second ground of appeal but argued the remaining two grounds together.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Vincent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Okwanga</w:t>
      </w:r>
      <w:proofErr w:type="spellEnd"/>
      <w:r>
        <w:rPr>
          <w:rFonts w:ascii="Times New Roman" w:hAnsi="Times New Roman" w:cs="Times New Roman"/>
          <w:color w:val="000000"/>
        </w:rPr>
        <w:t>, Acting Senior Principal State Attorney, also lodged a written statement of arguments on behalf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respondent. </w:t>
      </w:r>
      <w:r>
        <w:rPr>
          <w:rFonts w:ascii="Times New Roman" w:hAnsi="Times New Roman" w:cs="Times New Roman"/>
          <w:color w:val="000000"/>
        </w:rPr>
        <w:lastRenderedPageBreak/>
        <w:t>Consideration of mitigation on sentence would depend on our decision in regard to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of the appellant.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one and three of appeal are worded this way: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E00A2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Justices of Appeal erred in law and fact when he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failed to correctly re-evaluate</w:t>
      </w:r>
      <w:r w:rsidR="00E00A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appellant’s evidence, especially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alibi.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E00A2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Justices of Appeal erred in law in confirming the conviction of the appellant that was</w:t>
      </w:r>
      <w:r w:rsidR="00E00A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based on the prosecution evidence that was tainted with falsehoods, contradictions and inconsistencies.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arguments in substance consist of two parts. First he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on its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alleged failure to re-evaluate the appellant’s evidence. Secondly, he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for relying on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which he contended was tainted with falsehoods, contradictions and inconsistencies. We may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 out that in presenting the arguments, learned Counsel oscillated from one set to the other.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convenient to start with the second leg of learned Counsel’s contentions. According to him,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Bagorogoza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(PW1) and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Richard (PW2) were unreliable prosecution witnesses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therefore, the two courts should not have relied on them to disprove the appellant’s alibi. According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counsel: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PW1 was being employed by the appellant’s father who refused to pay him and this biased him.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="00E00A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witness)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PW2 purportedly met the appellant running with 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did not mind making an alarm.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are the same arguments which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Nafula</w:t>
      </w:r>
      <w:proofErr w:type="spellEnd"/>
      <w:r>
        <w:rPr>
          <w:rFonts w:ascii="Times New Roman" w:hAnsi="Times New Roman" w:cs="Times New Roman"/>
          <w:color w:val="000000"/>
        </w:rPr>
        <w:t xml:space="preserve"> had argued on behalf of appellant in the Court of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Appeal.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evidence of the two witnesses disproved the appellant’s alibi.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agree with the submission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Okwanga</w:t>
      </w:r>
      <w:proofErr w:type="spellEnd"/>
      <w:r>
        <w:rPr>
          <w:rFonts w:ascii="Times New Roman" w:hAnsi="Times New Roman" w:cs="Times New Roman"/>
          <w:color w:val="000000"/>
        </w:rPr>
        <w:t xml:space="preserve">. The two witnesses and the appellant were </w:t>
      </w:r>
      <w:r w:rsidR="00E00A28">
        <w:rPr>
          <w:rFonts w:ascii="Times New Roman" w:hAnsi="Times New Roman" w:cs="Times New Roman"/>
          <w:color w:val="000000"/>
        </w:rPr>
        <w:t>village mates</w:t>
      </w:r>
      <w:r>
        <w:rPr>
          <w:rFonts w:ascii="Times New Roman" w:hAnsi="Times New Roman" w:cs="Times New Roman"/>
          <w:color w:val="000000"/>
        </w:rPr>
        <w:t>. Each had known the appellant since childhood. The incident happened during broad daytime, at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1:00 pm. These facts were not challenged. No question of mistaken identification was raised nor could be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properly raised at all. The two reasons advanced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</w:t>
      </w:r>
      <w:r w:rsidR="00E00A28">
        <w:rPr>
          <w:rFonts w:ascii="Times New Roman" w:hAnsi="Times New Roman" w:cs="Times New Roman"/>
          <w:color w:val="000000"/>
        </w:rPr>
        <w:t>far-fetched</w:t>
      </w:r>
      <w:r>
        <w:rPr>
          <w:rFonts w:ascii="Times New Roman" w:hAnsi="Times New Roman" w:cs="Times New Roman"/>
          <w:color w:val="000000"/>
        </w:rPr>
        <w:t xml:space="preserve"> and have no sound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basis. In our opinion, the learned trial Judge considered the evidence of the two witnesses and the alibi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he rejected the latter.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properly re-evaluated the evidence before it concurred with the trial judge that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witnesses were credible and that they put the appellant at the scene of crime.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opinion, the Court of Appeal, like the trial court, justifiably rejected the appellant’s alibi. We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fault any of the two courts. We think that the appellant ran to Tanzania after the murder to look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employment as he claimed.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Next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there were contradictions between the post mortem report on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hand and the evidence of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(PW1) and </w:t>
      </w:r>
      <w:proofErr w:type="spellStart"/>
      <w:r>
        <w:rPr>
          <w:rFonts w:ascii="Times New Roman" w:hAnsi="Times New Roman" w:cs="Times New Roman"/>
          <w:color w:val="000000"/>
        </w:rPr>
        <w:t>Mugisha</w:t>
      </w:r>
      <w:proofErr w:type="spellEnd"/>
      <w:r>
        <w:rPr>
          <w:rFonts w:ascii="Times New Roman" w:hAnsi="Times New Roman" w:cs="Times New Roman"/>
          <w:color w:val="000000"/>
        </w:rPr>
        <w:t xml:space="preserve"> Gideon Safari, (PW3) the teacher, on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other. Counsel appears to argue that although the post-mortem report (exhibit P1) shows that there was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one cut wound,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stated that the appellant inflicted two cut wounds on the deceased. 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contended that Safari’s testimony suggests that either the head of the deceased or both the head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trunk, had been severed off from the rest of the body. Counsel contended that the Court of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should have treated the evidence of PW1 and PW3 as lies and therefore the court should have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quashed the conviction. 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any of the contradictions are minor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do not go to the root of the prosecution case. He supported the decisions of the two courts.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  <w:r>
        <w:rPr>
          <w:rFonts w:ascii="Times New Roman" w:hAnsi="Times New Roman" w:cs="Times New Roman"/>
          <w:color w:val="000000"/>
        </w:rPr>
        <w:t>, we think that the contradictions he pointed out are not material. We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perused the record of appeal and we do not find anywhere in the evidence of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>, where he stated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any part of the body, let alone the head or the trunk, had been severed as claimed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Further, neither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nor the post-mortem report shows that there were two cut wounds.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arguments regarding contradictions in the evidence of PW1 as to the cuts inflicted on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deceased, are the same arguments which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Nafula</w:t>
      </w:r>
      <w:proofErr w:type="spellEnd"/>
      <w:r>
        <w:rPr>
          <w:rFonts w:ascii="Times New Roman" w:hAnsi="Times New Roman" w:cs="Times New Roman"/>
          <w:color w:val="000000"/>
        </w:rPr>
        <w:t xml:space="preserve"> raised in the Court of Appeal on behalf of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that court considered the post-mortem report, the evidence of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and how the learned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had evaluated that evidence. The Court of Appeal considered two authorities including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famous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Tajar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EACA criminal appeal number 167 of 1969, which sets down applicable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tests on the reliability of the evidence of a witness who is perceived to have given contradictory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evidence. The court found that there was no grave inconsistency between the evidence of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post-mortem report. The court held that the injury revealed by the report was consistent with the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</w:t>
      </w:r>
      <w:proofErr w:type="spellStart"/>
      <w:r>
        <w:rPr>
          <w:rFonts w:ascii="Times New Roman" w:hAnsi="Times New Roman" w:cs="Times New Roman"/>
          <w:color w:val="000000"/>
        </w:rPr>
        <w:t>Tumusiime</w:t>
      </w:r>
      <w:proofErr w:type="spellEnd"/>
      <w:r>
        <w:rPr>
          <w:rFonts w:ascii="Times New Roman" w:hAnsi="Times New Roman" w:cs="Times New Roman"/>
          <w:color w:val="000000"/>
        </w:rPr>
        <w:t>, namely that the deceased sustained a cut wound. The Court of Appeal therefore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agreed with the trial judge </w:t>
      </w:r>
      <w:r>
        <w:rPr>
          <w:rFonts w:ascii="Times New Roman" w:hAnsi="Times New Roman" w:cs="Times New Roman"/>
          <w:color w:val="000000"/>
        </w:rPr>
        <w:lastRenderedPageBreak/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Tumusiime’s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was reliable. We respectfully agree with that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conclusion. In result, the two grounds have no merit and must fail.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merit in the appeal against conviction and it is accordingly dismissed.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now convenient to advert to the supplementary ground of appeal that reads as follows: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learned Justices of Appeal erred in law and occasioned a miscarriage of justice in not giving the</w:t>
      </w:r>
      <w:r w:rsidR="00E00A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an opportunity to be heard on the question of mitigation of sentence.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did not hear counsels’ arguments on this ground. However, earlier in the same session, we considered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arguments on a similar ground of appeal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(Supreme Court criminal appeal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16 of 2004) and made a ruling that is applicable to all pending criminal appeals in capital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convictions, namely that where we uphold a conviction in a capital offence in which the accused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sentenced to death, we would make an appropriate order as to sentence. Accordingly, as we did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we exercise our discretion and postpone confirmation of the sentence in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 under Article 22(1) of the Constitution, until the determination of the pending constitutional</w:t>
      </w:r>
      <w:r w:rsidR="00E00A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decision of the Constitutional Court in Constitutional Petition number 6 of 2003.</w:t>
      </w:r>
    </w:p>
    <w:p w:rsidR="00067EB7" w:rsidRDefault="00067EB7" w:rsidP="00E00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67EB7" w:rsidRDefault="00067EB7" w:rsidP="0006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Tumwiine</w:t>
      </w:r>
      <w:proofErr w:type="spellEnd"/>
    </w:p>
    <w:p w:rsidR="00067EB7" w:rsidRDefault="00067EB7" w:rsidP="0006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067EB7" w:rsidP="00067EB7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Vincent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Okwanga</w:t>
      </w:r>
      <w:proofErr w:type="spellEnd"/>
      <w:r>
        <w:rPr>
          <w:rFonts w:ascii="Times New Roman" w:hAnsi="Times New Roman" w:cs="Times New Roman"/>
          <w:color w:val="000000"/>
        </w:rPr>
        <w:t>, Acting Senior Principal State Attorney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B7"/>
    <w:rsid w:val="00067EB7"/>
    <w:rsid w:val="001A1FE9"/>
    <w:rsid w:val="0080578A"/>
    <w:rsid w:val="00E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9AF0C-2757-4059-A6D9-879CD29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2018-07-04T18:39:00Z</dcterms:created>
  <dcterms:modified xsi:type="dcterms:W3CDTF">2018-07-10T06:13:00Z</dcterms:modified>
</cp:coreProperties>
</file>