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Bagologoza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Parks Trustees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February 1974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1026/1972 (67/74</w:t>
      </w:r>
      <w:r>
        <w:rPr>
          <w:rFonts w:ascii="Times New Roman" w:hAnsi="Times New Roman" w:cs="Times New Roman"/>
          <w:b/>
          <w:bCs/>
          <w:color w:val="000000"/>
        </w:rPr>
        <w:t>)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Lubogo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Negligence – Master and servant – Safe place of work – Whether provided.</w:t>
      </w:r>
    </w:p>
    <w:p w:rsidR="00CF26C5" w:rsidRDefault="0014507F" w:rsidP="00145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Lubogo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This is an action for general damages against the Uganda National Parks Trustees for injuries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sustained by the plaintiff on 16 November 1970, when he was in the employment of the Uganda National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Parks Trustees at </w:t>
      </w:r>
      <w:proofErr w:type="spellStart"/>
      <w:r>
        <w:rPr>
          <w:rFonts w:ascii="Times New Roman" w:hAnsi="Times New Roman" w:cs="Times New Roman"/>
          <w:color w:val="000000"/>
        </w:rPr>
        <w:t>Mweya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issues to be decided are whether the defendants were negligent in not providing safety for the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and quantum of damages if it is found that the defendants were negligent.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said that in November 1970 he was employed by the defendants as a mechanic at </w:t>
      </w:r>
      <w:proofErr w:type="spellStart"/>
      <w:r>
        <w:rPr>
          <w:rFonts w:ascii="Times New Roman" w:hAnsi="Times New Roman" w:cs="Times New Roman"/>
          <w:color w:val="000000"/>
        </w:rPr>
        <w:t>Mweya</w:t>
      </w:r>
      <w:proofErr w:type="spellEnd"/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a monthly salary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120/ </w:t>
      </w:r>
      <w:proofErr w:type="gramStart"/>
      <w:r>
        <w:rPr>
          <w:rFonts w:ascii="Times New Roman" w:hAnsi="Times New Roman" w:cs="Times New Roman"/>
          <w:color w:val="000000"/>
        </w:rPr>
        <w:t>– .</w:t>
      </w:r>
      <w:proofErr w:type="gramEnd"/>
      <w:r>
        <w:rPr>
          <w:rFonts w:ascii="Times New Roman" w:hAnsi="Times New Roman" w:cs="Times New Roman"/>
          <w:color w:val="000000"/>
        </w:rPr>
        <w:t xml:space="preserve"> He was provided with a house in the park by the defendants in what is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as a camp. In this camp there were several other houses occupied by the employees of the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defendants. Within the camp there was a bath enclosure built in blocks but not fenced.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16 November 1970, at about 9 p.m. the plaintiff and his friend </w:t>
      </w:r>
      <w:proofErr w:type="spellStart"/>
      <w:r>
        <w:rPr>
          <w:rFonts w:ascii="Times New Roman" w:hAnsi="Times New Roman" w:cs="Times New Roman"/>
          <w:color w:val="000000"/>
        </w:rPr>
        <w:t>Lubega</w:t>
      </w:r>
      <w:proofErr w:type="spellEnd"/>
      <w:r>
        <w:rPr>
          <w:rFonts w:ascii="Times New Roman" w:hAnsi="Times New Roman" w:cs="Times New Roman"/>
          <w:color w:val="000000"/>
        </w:rPr>
        <w:t xml:space="preserve"> went to the bath enclosure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a bath. After he had taken his bath and as he was dressing there was a power failure in the camp.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he went out of the bath enclosure and as he was walking away from it he was knocked down by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turned out to be a buffalo. He fell down unconscious. When he gained his consciousness he was in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Kilembe</w:t>
      </w:r>
      <w:proofErr w:type="spellEnd"/>
      <w:r>
        <w:rPr>
          <w:rFonts w:ascii="Times New Roman" w:hAnsi="Times New Roman" w:cs="Times New Roman"/>
          <w:color w:val="000000"/>
        </w:rPr>
        <w:t xml:space="preserve"> hospital. He had been gored in the thigh and right shoulder by the buffalo. He was transferred to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Fort Portal hospital and later to </w:t>
      </w:r>
      <w:proofErr w:type="spellStart"/>
      <w:r>
        <w:rPr>
          <w:rFonts w:ascii="Times New Roman" w:hAnsi="Times New Roman" w:cs="Times New Roman"/>
          <w:color w:val="000000"/>
        </w:rPr>
        <w:t>Mulago</w:t>
      </w:r>
      <w:proofErr w:type="spellEnd"/>
      <w:r>
        <w:rPr>
          <w:rFonts w:ascii="Times New Roman" w:hAnsi="Times New Roman" w:cs="Times New Roman"/>
          <w:color w:val="000000"/>
        </w:rPr>
        <w:t xml:space="preserve"> hospital. He was discharged on 7 July 1971. At the time of his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 he was still feeling pain in the chest and could not turn his neck at will and had to use a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surgical collar every two days. He had signs of libido as he had an injury in the spine and generally his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health had been impaired by the injuries. In June 1972, he was again examined by a doctor.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Lubega</w:t>
      </w:r>
      <w:proofErr w:type="spellEnd"/>
      <w:r>
        <w:rPr>
          <w:rFonts w:ascii="Times New Roman" w:hAnsi="Times New Roman" w:cs="Times New Roman"/>
          <w:color w:val="000000"/>
        </w:rPr>
        <w:t xml:space="preserve"> said virtually the same thing as the plaintiff, but in addition he said that when the buffalo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attacked his friend, he raised an alarm and many people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came to the scene. Later a </w:t>
      </w:r>
      <w:proofErr w:type="spellStart"/>
      <w:r>
        <w:rPr>
          <w:rFonts w:ascii="Times New Roman" w:hAnsi="Times New Roman" w:cs="Times New Roman"/>
          <w:color w:val="000000"/>
        </w:rPr>
        <w:t>Landrover</w:t>
      </w:r>
      <w:proofErr w:type="spellEnd"/>
      <w:r>
        <w:rPr>
          <w:rFonts w:ascii="Times New Roman" w:hAnsi="Times New Roman" w:cs="Times New Roman"/>
          <w:color w:val="000000"/>
        </w:rPr>
        <w:t xml:space="preserve"> came and they were able to see two buffaloes by the aid of the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lights of the </w:t>
      </w:r>
      <w:proofErr w:type="spellStart"/>
      <w:r>
        <w:rPr>
          <w:rFonts w:ascii="Times New Roman" w:hAnsi="Times New Roman" w:cs="Times New Roman"/>
          <w:color w:val="000000"/>
        </w:rPr>
        <w:t>Landrover</w:t>
      </w:r>
      <w:proofErr w:type="spellEnd"/>
      <w:r>
        <w:rPr>
          <w:rFonts w:ascii="Times New Roman" w:hAnsi="Times New Roman" w:cs="Times New Roman"/>
          <w:color w:val="000000"/>
        </w:rPr>
        <w:t>. The buffaloes then walked away. He said further that the method used in driving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away these animals is by training lights on them. In cross-examination </w:t>
      </w:r>
      <w:proofErr w:type="spellStart"/>
      <w:r>
        <w:rPr>
          <w:rFonts w:ascii="Times New Roman" w:hAnsi="Times New Roman" w:cs="Times New Roman"/>
          <w:color w:val="000000"/>
        </w:rPr>
        <w:t>Lubega</w:t>
      </w:r>
      <w:proofErr w:type="spellEnd"/>
      <w:r>
        <w:rPr>
          <w:rFonts w:ascii="Times New Roman" w:hAnsi="Times New Roman" w:cs="Times New Roman"/>
          <w:color w:val="000000"/>
        </w:rPr>
        <w:t xml:space="preserve"> admitted that although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animals used to come to the camp they never hurt anybody. This was the first time such incident to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happen in the camp for the whole year he had been there.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, Augustine </w:t>
      </w:r>
      <w:proofErr w:type="spellStart"/>
      <w:r>
        <w:rPr>
          <w:rFonts w:ascii="Times New Roman" w:hAnsi="Times New Roman" w:cs="Times New Roman"/>
          <w:color w:val="000000"/>
        </w:rPr>
        <w:t>Bendabule</w:t>
      </w:r>
      <w:proofErr w:type="spellEnd"/>
      <w:r>
        <w:rPr>
          <w:rFonts w:ascii="Times New Roman" w:hAnsi="Times New Roman" w:cs="Times New Roman"/>
          <w:color w:val="000000"/>
        </w:rPr>
        <w:t>, Chief Game Park Warden of the Rwenzori National Park said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is no fence around the quarters of the park employees. It was found expensive to fence them as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fence would be destroyed by the bigger animals no sooner, than they erect it or repair it. It was,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necessary to have alternative device whereby the lives of employees would be safeguarded and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to install electricity in the compound of the camp. Apart from this the employees were instructed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in their houses by 6.30 p.m. with doors closed.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cross-examination he admitted that the animals are known to go into these camps for food and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peelings and can only be dangerous if they are infuriated or disturbed. As to fencing he said that fencing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hinder small animals from coming in, but as for big animals they would break in. He said that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fencing the camps would make the parks look ugly and thus defeat the very purpose for which the parks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made. He said further that the house which the plaintiff occupied had a bathroom. The issue here is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defendants failed in their duty to provide a safe system of work for their employees. What is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a safe system of work?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Colfar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Coggins and Griffith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Liverpool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Ltd.</w:t>
      </w:r>
      <w:r>
        <w:rPr>
          <w:rFonts w:ascii="Times New Roman" w:hAnsi="Times New Roman" w:cs="Times New Roman"/>
          <w:color w:val="000000"/>
        </w:rPr>
        <w:t>, [1945] 1 All E.R. 326,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Viscount Simon, citing their Lordships judgment in </w:t>
      </w:r>
      <w:r>
        <w:rPr>
          <w:rFonts w:ascii="Times New Roman" w:hAnsi="Times New Roman" w:cs="Times New Roman"/>
          <w:i/>
          <w:iCs/>
          <w:color w:val="000000"/>
        </w:rPr>
        <w:t>Wilsons and Clyde Coal Co. v. English</w:t>
      </w:r>
      <w:r>
        <w:rPr>
          <w:rFonts w:ascii="Times New Roman" w:hAnsi="Times New Roman" w:cs="Times New Roman"/>
          <w:color w:val="000000"/>
        </w:rPr>
        <w:t>, said that a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safe system of work is the practice and method adopted in carrying on the master’s business of which the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master is presumed to be aware and the insufficiency of which he can guard against, but not isolated or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 to day acts of the servant of which the master is not presumed to be aware and which he cannot guard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against. Again in </w:t>
      </w:r>
      <w:r>
        <w:rPr>
          <w:rFonts w:ascii="Times New Roman" w:hAnsi="Times New Roman" w:cs="Times New Roman"/>
          <w:i/>
          <w:iCs/>
          <w:color w:val="000000"/>
        </w:rPr>
        <w:t>Latimer v. A.E.C</w:t>
      </w:r>
      <w:r>
        <w:rPr>
          <w:rFonts w:ascii="Times New Roman" w:hAnsi="Times New Roman" w:cs="Times New Roman"/>
          <w:color w:val="000000"/>
        </w:rPr>
        <w:t>., [1956] 2 All E.R. 449, Lord Porter said that excessive obligation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not be placed </w:t>
      </w:r>
      <w:r>
        <w:rPr>
          <w:rFonts w:ascii="Times New Roman" w:hAnsi="Times New Roman" w:cs="Times New Roman"/>
          <w:color w:val="000000"/>
        </w:rPr>
        <w:lastRenderedPageBreak/>
        <w:t>upon the master where his act of negligence is temporary. Where this happens it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becomes a question of the degree of temporary inefficiency. In the cited case the </w:t>
      </w:r>
      <w:bookmarkStart w:id="0" w:name="_GoBack"/>
      <w:bookmarkEnd w:id="0"/>
      <w:r w:rsidR="0014507F">
        <w:rPr>
          <w:rFonts w:ascii="Times New Roman" w:hAnsi="Times New Roman" w:cs="Times New Roman"/>
          <w:color w:val="000000"/>
        </w:rPr>
        <w:t>masters’</w:t>
      </w:r>
      <w:r>
        <w:rPr>
          <w:rFonts w:ascii="Times New Roman" w:hAnsi="Times New Roman" w:cs="Times New Roman"/>
          <w:color w:val="000000"/>
        </w:rPr>
        <w:t xml:space="preserve"> appeal was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allowed. Now I turn to the facts of this case. It has been tacitly conceded that there were some safety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devices employed by the defendants to safeguard the lives of the employees of the park, or at least it was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canvassed by the plaintiff’s evidence that there were no such devices. This being so the matter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becomes a question of degree of inefficiency in providing adequate safe system. It would be impossible,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to provide a 100 per cent proof system against the encroachment of the animals.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Fencing by itself could not provide that safeguard as the Park Warden pointed out in his evidence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bigger animals could easily break in; fencing, therefore, would put an excessive burden on the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 in repair bills. </w:t>
      </w:r>
      <w:proofErr w:type="spellStart"/>
      <w:r>
        <w:rPr>
          <w:rFonts w:ascii="Times New Roman" w:hAnsi="Times New Roman" w:cs="Times New Roman"/>
          <w:color w:val="000000"/>
        </w:rPr>
        <w:t>Lubega</w:t>
      </w:r>
      <w:proofErr w:type="spellEnd"/>
      <w:r>
        <w:rPr>
          <w:rFonts w:ascii="Times New Roman" w:hAnsi="Times New Roman" w:cs="Times New Roman"/>
          <w:color w:val="000000"/>
        </w:rPr>
        <w:t>, the plaintiff’s witness, said that the best method to drive away animals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to have lights. He said further that when the </w:t>
      </w:r>
      <w:proofErr w:type="spellStart"/>
      <w:r>
        <w:rPr>
          <w:rFonts w:ascii="Times New Roman" w:hAnsi="Times New Roman" w:cs="Times New Roman"/>
          <w:color w:val="000000"/>
        </w:rPr>
        <w:t>Landrover</w:t>
      </w:r>
      <w:proofErr w:type="spellEnd"/>
      <w:r>
        <w:rPr>
          <w:rFonts w:ascii="Times New Roman" w:hAnsi="Times New Roman" w:cs="Times New Roman"/>
          <w:color w:val="000000"/>
        </w:rPr>
        <w:t xml:space="preserve"> arrived at the scene with lights on the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animals went away. It is, therefore, clear that the defendants devised the best possible means of driving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away the animals by installing electricity in the compound of the camp. The failure of power on 16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1970, was an isolated instance. It has not been argued that the failure of power was a frequent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occurrence and that the defendants were aware of it and failed to remedy the matter. On the contrary this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method stood the test of time in that no one has ever been attacked and gored by animals. Furthermore,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was provided with quarters in which there was a bathroom. He failed to avail himself of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facilities and preferred to have his bath in the compound with all the attendant risks. The doctrine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violent non fit injuria may well apply to him.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defendants were not supposed to foresee every individual activity of the occupiers of the camp so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guard against it. What the defendants were supposed to do was to cater for their employees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generally in their usual activities in the camp and not for their individual propensities.</w:t>
      </w:r>
    </w:p>
    <w:p w:rsidR="00CF26C5" w:rsidRDefault="00CF26C5" w:rsidP="00145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satisfied on evidence that the defendants were not negligent in their duty to the plaintiff and</w:t>
      </w:r>
      <w:r w:rsidR="001450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the suit would be dismissed with costs.</w:t>
      </w:r>
    </w:p>
    <w:p w:rsidR="00CF26C5" w:rsidRDefault="00CF26C5" w:rsidP="00CF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CF26C5" w:rsidRDefault="00CF26C5" w:rsidP="00CF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CF26C5" w:rsidRDefault="00CF26C5" w:rsidP="00CF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Ibingira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CF26C5" w:rsidRDefault="00CF26C5" w:rsidP="00CF2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defendants:</w:t>
      </w:r>
    </w:p>
    <w:p w:rsidR="006B48C8" w:rsidRDefault="00CF26C5" w:rsidP="00CF26C5">
      <w:r>
        <w:rPr>
          <w:rFonts w:ascii="Times New Roman" w:hAnsi="Times New Roman" w:cs="Times New Roman"/>
          <w:i/>
          <w:iCs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(Acting Solicitor-General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C5"/>
    <w:rsid w:val="0014507F"/>
    <w:rsid w:val="006B48C8"/>
    <w:rsid w:val="00CF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8FA59-535D-49D0-88CF-273DDEE8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2018-07-05T13:54:00Z</dcterms:created>
  <dcterms:modified xsi:type="dcterms:W3CDTF">2018-07-10T05:34:00Z</dcterms:modified>
</cp:coreProperties>
</file>