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Bank of Uganda v Banco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Arabe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Espanol</w:t>
      </w:r>
      <w:proofErr w:type="spellEnd"/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May 2000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20/99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Mukasa-Kikonyogo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 xml:space="preserve">B </w:t>
      </w:r>
      <w:proofErr w:type="spellStart"/>
      <w:r>
        <w:rPr>
          <w:rFonts w:ascii="Times New Roman" w:hAnsi="Times New Roman" w:cs="Times New Roman"/>
          <w:color w:val="000000"/>
        </w:rPr>
        <w:t>Tusasirwe</w:t>
      </w:r>
      <w:proofErr w:type="spellEnd"/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Stay of execution – Application – Application for stay of execution pending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reference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Rule 105(1) of the Rules of the Supreme Court – Registrar’s ruling – Whether necessary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to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annexe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registrar’s ruling to the application.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Practice and procedure – Stay of execution – Stay of execution pending determination of reference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under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Rule 105(1) of the Rules of the Supreme Court – Rule 1(3) and Rule 5 – Whether stay properly</w:t>
      </w:r>
    </w:p>
    <w:p w:rsidR="00636AA8" w:rsidRDefault="00636AA8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brought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under Rule.</w:t>
      </w:r>
    </w:p>
    <w:p w:rsidR="00636AA8" w:rsidRDefault="00E55B41" w:rsidP="00E55B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KAROKORA AND MUKASA-KIKONYOGO JJSC: </w:t>
      </w:r>
      <w:r>
        <w:rPr>
          <w:rFonts w:ascii="Times New Roman" w:hAnsi="Times New Roman" w:cs="Times New Roman"/>
          <w:color w:val="000000"/>
        </w:rPr>
        <w:t>The Applicant brought this application for stay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 of the bill costs taxed by the registrar of this Court pending the final disposal of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a single Justice of this Court. Before the application was heard on merit, counsel for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raised preliminary objection against the manner in which the Applicant had filed 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 We heard the objection and overruled it, reserved our reasons and thereafter heard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on merit, which we allowed with costs to the Respondent in any event and reserved our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reasons. We now proceed to give our reasons for overruling the preliminary objection and for allowing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for stay of execution.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start with the points of objection.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>, counsel for the Respondent, submitted that no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copy of the ruling of the registrar of the Court had been annexed to the application and therefore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was, according to the decision in </w:t>
      </w:r>
      <w:r>
        <w:rPr>
          <w:rFonts w:ascii="Times New Roman" w:hAnsi="Times New Roman" w:cs="Times New Roman"/>
          <w:i/>
          <w:iCs/>
          <w:color w:val="000000"/>
        </w:rPr>
        <w:t xml:space="preserve">J W 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MLS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(SC) civil application number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 of 1991, incompetent.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ground of objection was that ordinarily applications of this nature for stay of execution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brought under Rule 5 of the Rules of this Court, but this application was brought under Rule 1(3) of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of this Court. He contended that inherent powers could be invoked if the application was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brought to cure miscarriage of justice due to, for instance, fraud or nullity as was pointed out in the case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Libyan Arab (U)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Vassiliadais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(SC) civil application number 42 of 1992. He therefore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there was no application properly before the Court.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third ground of objection, it was submitted that the application was supported by a defective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affidavit sworn by William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>, which did not distinguish between matters sworn on information and</w:t>
      </w:r>
      <w:r w:rsidR="00E55B41">
        <w:rPr>
          <w:rFonts w:ascii="Times New Roman" w:hAnsi="Times New Roman" w:cs="Times New Roman"/>
          <w:color w:val="000000"/>
        </w:rPr>
        <w:t xml:space="preserve"> t</w:t>
      </w:r>
      <w:r>
        <w:rPr>
          <w:rFonts w:ascii="Times New Roman" w:hAnsi="Times New Roman" w:cs="Times New Roman"/>
          <w:color w:val="000000"/>
        </w:rPr>
        <w:t xml:space="preserve">hose sworn on deponent’s knowledge. He relied on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Gaspair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Harry Goudy </w:t>
      </w:r>
      <w:r>
        <w:rPr>
          <w:rFonts w:ascii="Times New Roman" w:hAnsi="Times New Roman" w:cs="Times New Roman"/>
          <w:color w:val="000000"/>
        </w:rPr>
        <w:t>[1962] EA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414 for the above proposition. In view of the above, he submitted that the application should be struck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out.</w:t>
      </w:r>
    </w:p>
    <w:p w:rsidR="00636AA8" w:rsidRPr="00E55B41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reply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color w:val="000000"/>
        </w:rPr>
        <w:t>, counsel for Applicant, submitted that the objection had no merit. On the first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of objection, he submitted that the merits of the reference had no relevance to this application for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stay of execution, but were relevant to the reference itself. He referred us to the case of </w:t>
      </w:r>
      <w:r>
        <w:rPr>
          <w:rFonts w:ascii="Times New Roman" w:hAnsi="Times New Roman" w:cs="Times New Roman"/>
          <w:i/>
          <w:iCs/>
          <w:color w:val="000000"/>
        </w:rPr>
        <w:t>Barclays Bank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(U)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(SC) civil application 1997 which, he submitted, overruled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J WR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second ground of objection, he submitted that Rule 5(2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the Rules of this Court does not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apply, because in this case there was no appeal pending before this Court. He submitted that there was a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a single Justice of the Supreme Court challenging the award of costs by the registrar.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contended that the application for stay of execution against taxing master’s ruling was rightly made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Rule 1(3) of the Rules of this Court.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On the third objection,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this ground had no merit, because there was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nowhere the deponent could distinguish between matters sworn on information and those sworn on 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when the whole affidavit was based solely on deponent’s knowledge.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Our reasons for overruling the objection were firstly that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Barclays Bank (U) Ltd </w:t>
      </w:r>
      <w:r>
        <w:rPr>
          <w:rFonts w:ascii="Times New Roman" w:hAnsi="Times New Roman" w:cs="Times New Roman"/>
          <w:color w:val="000000"/>
          <w:sz w:val="20"/>
          <w:szCs w:val="20"/>
        </w:rPr>
        <w:t>which was cited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us as having overruled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never overruled it as submitted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Kanyerezi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In fact in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Barclays Bank (U) Ltd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we endorsed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and held,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inter alia</w:t>
      </w:r>
      <w:r>
        <w:rPr>
          <w:rFonts w:ascii="Times New Roman" w:hAnsi="Times New Roman" w:cs="Times New Roman"/>
          <w:color w:val="000000"/>
          <w:sz w:val="20"/>
          <w:szCs w:val="20"/>
        </w:rPr>
        <w:t>, as follows: “We agree that an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application for stay should </w:t>
      </w: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normally have a copy of judgment appealed from annexed. We, however, think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that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Rukuba’s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 is distinguishable from the application before us …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”.</w:t>
      </w:r>
      <w:proofErr w:type="gramEnd"/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instant case, like in </w:t>
      </w:r>
      <w:r>
        <w:rPr>
          <w:rFonts w:ascii="Times New Roman" w:hAnsi="Times New Roman" w:cs="Times New Roman"/>
          <w:i/>
          <w:iCs/>
          <w:color w:val="000000"/>
        </w:rPr>
        <w:t xml:space="preserve">Barclays Bank (U)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), we would distinguish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because there is no appeal pending before this Court challenging the decision of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lower court, like it was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where a copy of the ruling was held to be necessary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Court to decide whether or not there was likelihood of the appeal succeeding. We agree 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 w:rsidR="00E55B4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aspect in the instant case that the merits of the reference have no relevance to this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because the registrar’s ruling would not influence our decision of whether or not to grant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stay. In the circumstances a copy of the registrar’s ruling to be annexed to this application is not relevant.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factors that influence grant of stay of execution were spelt out in </w:t>
      </w:r>
      <w:r>
        <w:rPr>
          <w:rFonts w:ascii="Times New Roman" w:hAnsi="Times New Roman" w:cs="Times New Roman"/>
          <w:i/>
          <w:iCs/>
          <w:color w:val="000000"/>
        </w:rPr>
        <w:t>Kampala Bottlers Ltd v Uganda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Bottlers Ltd </w:t>
      </w:r>
      <w:r>
        <w:rPr>
          <w:rFonts w:ascii="Times New Roman" w:hAnsi="Times New Roman" w:cs="Times New Roman"/>
          <w:color w:val="000000"/>
        </w:rPr>
        <w:t>in civil application number 25 of 1995.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second ground of objection, we find no merit in this ground, because there is no appeal that 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before us. There is a mere reference pending before a single Justice of this Court, which strictly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speaking is not an appeal contemplated by Rule 5 of the Rules of this Court which any party aggrieved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decision would invoke if he wanted to apply for stay of execution. We think that in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 of this case Rule 1(3) of the Rules of this Court was rightly invoked in instituting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Turning to the third ground of objection, we find no merit in this ground, because the affidavit of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William </w:t>
      </w:r>
      <w:proofErr w:type="spellStart"/>
      <w:r>
        <w:rPr>
          <w:rFonts w:ascii="Times New Roman" w:hAnsi="Times New Roman" w:cs="Times New Roman"/>
          <w:color w:val="000000"/>
        </w:rPr>
        <w:t>Kasozi</w:t>
      </w:r>
      <w:proofErr w:type="spellEnd"/>
      <w:r>
        <w:rPr>
          <w:rFonts w:ascii="Times New Roman" w:hAnsi="Times New Roman" w:cs="Times New Roman"/>
          <w:color w:val="000000"/>
        </w:rPr>
        <w:t xml:space="preserve"> was sworn solely on his own knowledge. Therefore the issue of distinguishing between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sworn on information and those sworn on deponent’s knowledge does not arise. In the result, we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saw no merit in the objection and hence overruled it.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now turn to the main application. The grounds of the application were: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“(1) The Applicant has applied for reference of the taxed bill to a single judge of the Supreme Court on the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ground that the bill is manifestly excessive and that the registrar erred in law and in principle when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taxing the bill.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The reference will be rendered nugatory if execution does proceed before the reference is concluded.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The Respondent is a foreign company with no assets within the jurisdiction of this Court and thus if the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reference is successful it would be difficult for the monies to be recovered.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The Applicant is willing to provide such security as the Court may order for the stay”.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application was supported by William </w:t>
      </w:r>
      <w:proofErr w:type="spellStart"/>
      <w:r>
        <w:rPr>
          <w:rFonts w:ascii="Times New Roman" w:hAnsi="Times New Roman" w:cs="Times New Roman"/>
          <w:color w:val="000000"/>
        </w:rPr>
        <w:t>Kasozi’s</w:t>
      </w:r>
      <w:proofErr w:type="spellEnd"/>
      <w:r>
        <w:rPr>
          <w:rFonts w:ascii="Times New Roman" w:hAnsi="Times New Roman" w:cs="Times New Roman"/>
          <w:color w:val="000000"/>
        </w:rPr>
        <w:t xml:space="preserve"> affidavit which substantially contained the grounds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out in the notice of motion.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color w:val="000000"/>
        </w:rPr>
        <w:t>, counsel for Applicant submitted that the reference was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on the same day of the taxation ruling and this application was filed on 11 November 1999, three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 after the ruling. Secondly, it was submitted that the reference would be rendered nugatory if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proceeded when the Respondent is a foreign company having no assets in the country, a fact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not denied. If the reference succeeds it would be difficult to recover money already paid from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referred us to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Lawrence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Kyazze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Eunice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Busingye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(SC) civil application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18 of 1990 where the Supreme Court set out conditions upon which stay of execution pending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should be granted. He submitted that the conditions are the same as those in Order 39, Rule 4(3)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Civil Procedure Rules (Chapter 65). These conditions were, he submitted, confirmed by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Supreme Court in </w:t>
      </w:r>
      <w:r>
        <w:rPr>
          <w:rFonts w:ascii="Times New Roman" w:hAnsi="Times New Roman" w:cs="Times New Roman"/>
          <w:i/>
          <w:iCs/>
          <w:color w:val="000000"/>
        </w:rPr>
        <w:t xml:space="preserve">Kampala Bottlers Ltd v Uganda Bottlers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Finally, he submitted that they were ready to give security as may be ordered by this Court.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>, counsel for Respondent, opposed the application on the ground that there were no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sufficient grounds adduced to justify staying execution. He relied on the case of </w:t>
      </w:r>
      <w:r>
        <w:rPr>
          <w:rFonts w:ascii="Times New Roman" w:hAnsi="Times New Roman" w:cs="Times New Roman"/>
          <w:i/>
          <w:iCs/>
          <w:color w:val="000000"/>
        </w:rPr>
        <w:t>Kampala City Pharmacy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 National Pharmacy </w:t>
      </w:r>
      <w:r>
        <w:rPr>
          <w:rFonts w:ascii="Times New Roman" w:hAnsi="Times New Roman" w:cs="Times New Roman"/>
          <w:color w:val="000000"/>
        </w:rPr>
        <w:t>(CA) civil application number 13 of 1979 for the above proposition. He submitted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according to the above case, the court can only grant a stay if it is satisfied that there is good cause to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so and that there are special circumstances to justify such grant. Since there was no evidence of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circumstances adduced and no deposit of security had been made by the Applicant, this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should be dismissed with costs.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After considering the submissions of both counsel on the application we found that the circumstances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application justified granting stay of execution, because the Respondent is a foreign company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no other assets in this country. If the reference succeeds in favour of the Applicant after execution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been carried out, it would be difficult for the Applicant to recover its money. Furthermore, we found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</w:t>
      </w:r>
      <w:r>
        <w:rPr>
          <w:rFonts w:ascii="Times New Roman" w:hAnsi="Times New Roman" w:cs="Times New Roman"/>
          <w:color w:val="000000"/>
        </w:rPr>
        <w:lastRenderedPageBreak/>
        <w:t>the ground upon which stay of execution is granted as laid down by Order 39, Rule 4(3) of the Civil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Procedure Rules (Chapter 65) and confirmed by this Court in </w:t>
      </w:r>
      <w:r>
        <w:rPr>
          <w:rFonts w:ascii="Times New Roman" w:hAnsi="Times New Roman" w:cs="Times New Roman"/>
          <w:i/>
          <w:iCs/>
          <w:color w:val="000000"/>
        </w:rPr>
        <w:t>Kampala Bottlers Ltd v Uganda Bottlers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Ltd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were proved. In the circumstances, there is no doubt that substantial loss would result to the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Applicant if stay was not granted. In the result we granted stay of execution and made the following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orders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Applicant Bank of Uganda give a guarantee as security for costs issued by a reputable commercial Bank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 Uganda for the full amount of the bill of costs as taxed by the Registrar namely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206 433 530.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wording of the guarantee shall be approved by this Court. The Bank guarantee shall be given within 10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days hereof. The costs of this application is awarded to the Respondent in any event”.</w:t>
      </w:r>
    </w:p>
    <w:p w:rsidR="00E55B41" w:rsidRDefault="00E55B41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MULENGA JSC: </w:t>
      </w:r>
      <w:r>
        <w:rPr>
          <w:rFonts w:ascii="Times New Roman" w:hAnsi="Times New Roman" w:cs="Times New Roman"/>
          <w:color w:val="000000"/>
        </w:rPr>
        <w:t>This is a reference, under Rule 105(1) of the Rules of this Court, from a decision of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taxing officer in the civil appeal referred to above, wherein Banco </w:t>
      </w:r>
      <w:proofErr w:type="spellStart"/>
      <w:r>
        <w:rPr>
          <w:rFonts w:ascii="Times New Roman" w:hAnsi="Times New Roman" w:cs="Times New Roman"/>
          <w:color w:val="000000"/>
        </w:rPr>
        <w:t>Arabe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Espanol</w:t>
      </w:r>
      <w:proofErr w:type="spellEnd"/>
      <w:r>
        <w:rPr>
          <w:rFonts w:ascii="Times New Roman" w:hAnsi="Times New Roman" w:cs="Times New Roman"/>
          <w:color w:val="000000"/>
        </w:rPr>
        <w:t xml:space="preserve"> presented a bill of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costs which was taxed and allowed at the total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206 433 000. In this reference only two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items, namely items 1 and 5, of the bill of costs are contested. The taxing officer allowed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on item 1 as instruction fee for prosecuting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appeal; and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million on item 5 as instruction fee for opposing an application for security for costs.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following is a summary of the background to the reference.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color w:val="000000"/>
        </w:rPr>
        <w:t>Arabe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Espanol</w:t>
      </w:r>
      <w:proofErr w:type="spellEnd"/>
      <w:r>
        <w:rPr>
          <w:rFonts w:ascii="Times New Roman" w:hAnsi="Times New Roman" w:cs="Times New Roman"/>
          <w:color w:val="000000"/>
        </w:rPr>
        <w:t xml:space="preserve"> filed a suit in the High Court, to which I shall hereafter refer “as the principal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suit”, for recovery of a debt owed to it in the sum of US$ 1 713 665-70. It sued the Attorney-General and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of Uganda, as co-Defendants, but for reasons not material to this reference, the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Attorney-General was struck out from the suit by order of the Court and the Bank of Uganda remained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sole Defendant.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commencement of the trial, on application of the Bank of Uganda, the Court ordered Banco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Arabe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Espanol</w:t>
      </w:r>
      <w:proofErr w:type="spellEnd"/>
      <w:r>
        <w:rPr>
          <w:rFonts w:ascii="Times New Roman" w:hAnsi="Times New Roman" w:cs="Times New Roman"/>
          <w:color w:val="000000"/>
        </w:rPr>
        <w:t xml:space="preserve"> to provide security for costs, which the latter failed to do in time. As a result of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failure, the principal suit was dismissed under Order 23, rule 2 of the Civil Procedure Rules. However,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subsequently, Banco </w:t>
      </w:r>
      <w:proofErr w:type="spellStart"/>
      <w:r>
        <w:rPr>
          <w:rFonts w:ascii="Times New Roman" w:hAnsi="Times New Roman" w:cs="Times New Roman"/>
          <w:color w:val="000000"/>
        </w:rPr>
        <w:t>Arabe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Espanol</w:t>
      </w:r>
      <w:proofErr w:type="spellEnd"/>
      <w:r>
        <w:rPr>
          <w:rFonts w:ascii="Times New Roman" w:hAnsi="Times New Roman" w:cs="Times New Roman"/>
          <w:color w:val="000000"/>
        </w:rPr>
        <w:t xml:space="preserve"> obtained an order reinstating the suit. The Bank of Uganda appealed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Court of Appeal against that order and its appeal was allowed. Banco </w:t>
      </w:r>
      <w:proofErr w:type="spellStart"/>
      <w:r>
        <w:rPr>
          <w:rFonts w:ascii="Times New Roman" w:hAnsi="Times New Roman" w:cs="Times New Roman"/>
          <w:color w:val="000000"/>
        </w:rPr>
        <w:t>Arabe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Espanol</w:t>
      </w:r>
      <w:proofErr w:type="spellEnd"/>
      <w:r>
        <w:rPr>
          <w:rFonts w:ascii="Times New Roman" w:hAnsi="Times New Roman" w:cs="Times New Roman"/>
          <w:color w:val="000000"/>
        </w:rPr>
        <w:t xml:space="preserve"> in turn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appealed to this Court. Its appeal was allowed with costs. It is the cost of the appeal to this Court, which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constitutes the main subject of the bill of costs, the taxation of which is under reference to me. Item 5 of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bill of costs, however, is in respect of civil application number 20 of 1998, in which the Bank of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Uganda applied to this to this Court for further security for costs. The application was heard and granted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Oder JSC who ordered that costs of the application be in the cause.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time of hearing this reference, I was informed from the bar, the original suit in the High Court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partly heard, but was still pending completion. For avoidance of confusion, I will hereafter in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this ruling, refer to Banco </w:t>
      </w:r>
      <w:proofErr w:type="spellStart"/>
      <w:r>
        <w:rPr>
          <w:rFonts w:ascii="Times New Roman" w:hAnsi="Times New Roman" w:cs="Times New Roman"/>
          <w:color w:val="000000"/>
        </w:rPr>
        <w:t>Arabe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Espanol</w:t>
      </w:r>
      <w:proofErr w:type="spellEnd"/>
      <w:r>
        <w:rPr>
          <w:rFonts w:ascii="Times New Roman" w:hAnsi="Times New Roman" w:cs="Times New Roman"/>
          <w:color w:val="000000"/>
        </w:rPr>
        <w:t xml:space="preserve"> as “the Plaintiff” and to the Bank of Uganda as “the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eight grounds of the reference. Grounds 1 to 6, inclusive, are concerned with the taxing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officer’s decision and item 1 of the bill of costs, while grounds 7 and 8 relate to his decision on item 5.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Before consideration of those grounds, however, I should reiterate briefly some pertinent principles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review of taxation, such as I am called upon to do in this reference. Counsel would do well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them in mind when deciding to make, and/or when framing grounds of, a reference. The first 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save in exceptional cases, a judge does not interfere with the assessment of what the taxing officer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considers to be a reasonable fee. This is because it is generally accepted that questions, which are solely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quantum of costs, are matters with which the taxing officer is particularly fitted to deal, and in which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has more experience than the judge. Consequently a judge will not alter a fee allowed by the taxing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officer, merely because in his opinion he should have allowed a higher or lower amount.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Secondly, an exceptional case is where it is shown expressly or by inference that in assessing and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arriving at the quantum of the fee allowed, the taxing officer exercised, or applied, a wrong principle. In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regard, application of a wrong principle is capable of being inferred from an award of an amount,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is manifestly excessive or manifestly low. Thirdly, even if it is shown that the taxing officer erred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principle the judge should interfere only on being satisfied that the error substantially affected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on quantum and that upholding the amount allowed would cause injustice to one of the parties.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lastRenderedPageBreak/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color w:val="000000"/>
        </w:rPr>
        <w:t>, counsel of the Defendant first argued grounds 2 and 3 together. I refrain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reproducing the grounds as framed because they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offend the Rules of this Court for being framed in argumentative form. Suffice to say that the substance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two grounds is that the taxing office erred in law: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holding that the subject matter of the appeal was the claim of US$ 1 713 665-70; and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in</w:t>
      </w:r>
      <w:proofErr w:type="gramEnd"/>
      <w:r>
        <w:rPr>
          <w:rFonts w:ascii="Times New Roman" w:hAnsi="Times New Roman" w:cs="Times New Roman"/>
          <w:color w:val="000000"/>
        </w:rPr>
        <w:t xml:space="preserve"> failing to decide that the appeal was on interlocutory matter.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submitted that the appeal to this Court had been an appeal against the Court of Appeal’s refusal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extend time within which the Plaintiff was to provide security for costs. He argued that the appeal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centred</w:t>
      </w:r>
      <w:proofErr w:type="spellEnd"/>
      <w:r>
        <w:rPr>
          <w:rFonts w:ascii="Times New Roman" w:hAnsi="Times New Roman" w:cs="Times New Roman"/>
          <w:color w:val="000000"/>
        </w:rPr>
        <w:t xml:space="preserve"> on the interpretation of Order 23, Rule 2(2) of the Civil Procedure Rules, and called for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determination whether the Plaintiff had shown sufficient cause for its failure to provide the security for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 within the time prescribed by the trial court. Counsel stressed that the appeal was on an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matter, and not on the issue of liability for payment of the amount claimed in the principal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suit. He </w:t>
      </w:r>
      <w:r w:rsidR="00E55B41">
        <w:rPr>
          <w:rFonts w:ascii="Times New Roman" w:hAnsi="Times New Roman" w:cs="Times New Roman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herefore invited me to hold that the taxing officer had erred in holding that the monetary claim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US$ 1 713 665-70 was the subject matter of the appeal, whereas the subject matter was the issue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Plaintiff had shown sufficient cause for its failure to comply with the terms of the High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order for security for costs. He relied on the decisions in </w:t>
      </w:r>
      <w:r>
        <w:rPr>
          <w:rFonts w:ascii="Times New Roman" w:hAnsi="Times New Roman" w:cs="Times New Roman"/>
          <w:i/>
          <w:iCs/>
          <w:color w:val="000000"/>
        </w:rPr>
        <w:t>Departed Asians Property Custodian</w:t>
      </w:r>
      <w:r w:rsidR="00E55B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Board (DAPCB) v Jaffer Brothers Ltd </w:t>
      </w:r>
      <w:r>
        <w:rPr>
          <w:rFonts w:ascii="Times New Roman" w:hAnsi="Times New Roman" w:cs="Times New Roman"/>
          <w:color w:val="000000"/>
        </w:rPr>
        <w:t xml:space="preserve">civil appeal number 13 of 1999 (unreported); </w:t>
      </w:r>
      <w:r>
        <w:rPr>
          <w:rFonts w:ascii="Times New Roman" w:hAnsi="Times New Roman" w:cs="Times New Roman"/>
          <w:i/>
          <w:iCs/>
          <w:color w:val="000000"/>
        </w:rPr>
        <w:t>Registered Trustees</w:t>
      </w:r>
      <w:r w:rsidR="00E55B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Kampala Institute v Departed Asians Custodian Board </w:t>
      </w:r>
      <w:r>
        <w:rPr>
          <w:rFonts w:ascii="Times New Roman" w:hAnsi="Times New Roman" w:cs="Times New Roman"/>
          <w:color w:val="000000"/>
        </w:rPr>
        <w:t>civil appeal number 3 of 1995 (UR); and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Patrick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Makumbi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Sole Electrics (U) Ltd </w:t>
      </w:r>
      <w:r>
        <w:rPr>
          <w:rFonts w:ascii="Times New Roman" w:hAnsi="Times New Roman" w:cs="Times New Roman"/>
          <w:color w:val="000000"/>
        </w:rPr>
        <w:t>civil application number 11 of 1995 (UR).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reply,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>, counsel for the Plaintiff, supported the holding of the taxing officer that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matter of the appeal was the Plaintiff’s claim for US$ 1 713 655-70. He premised his argument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contention that the order of the Court of Appeal from which the appeal to this Court arose was a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 order because it disposed of the suit. An appeal from that final order, therefore, could not itself be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interlocutory appeal. He argued that the Plaintiff had come to this Court to fight against the dismissal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its suit for recovery of US$ 1 713 665-70, because if the order of the Court of Appeal had been upheld,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stood to lose that amount. He pointed out that in the application for further security for costs,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prior to the hearing of the appeal, counsel for the Defendant had maintained that the appeal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involved a very substantial sum of money and complicated issues. He submitted and therefore, the same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should not be permitted to turn round now and argue that the subject matter of the appeal was no</w:t>
      </w:r>
      <w:r w:rsidR="00E55B41">
        <w:rPr>
          <w:rFonts w:ascii="Times New Roman" w:hAnsi="Times New Roman" w:cs="Times New Roman"/>
          <w:color w:val="000000"/>
        </w:rPr>
        <w:t xml:space="preserve">t </w:t>
      </w:r>
      <w:r>
        <w:rPr>
          <w:rFonts w:ascii="Times New Roman" w:hAnsi="Times New Roman" w:cs="Times New Roman"/>
          <w:color w:val="000000"/>
        </w:rPr>
        <w:t>the monetary claim or that the appeal was not complicated. He sought to distinguish the authorities relied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by counsel for the Defendant basically on the ground that in the instant case the order appealed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had the effect of disposing of the suit by upholding the dismissal, whereas in each of those other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cases what was in issue was not the entire suit but only some aspect thereof. For his part he relied 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Kazzora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Rukuba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civil appeal number 16 of 1993 (UR); </w:t>
      </w:r>
      <w:r>
        <w:rPr>
          <w:rFonts w:ascii="Times New Roman" w:hAnsi="Times New Roman" w:cs="Times New Roman"/>
          <w:i/>
          <w:iCs/>
          <w:color w:val="000000"/>
        </w:rPr>
        <w:t xml:space="preserve">Total Oil Products (EA)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Nuauto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</w:t>
      </w:r>
      <w:r w:rsidR="00E55B41">
        <w:rPr>
          <w:rFonts w:ascii="Times New Roman" w:hAnsi="Times New Roman" w:cs="Times New Roman"/>
          <w:i/>
          <w:iCs/>
          <w:color w:val="000000"/>
        </w:rPr>
        <w:t xml:space="preserve"> [</w:t>
      </w:r>
      <w:r>
        <w:rPr>
          <w:rFonts w:ascii="Times New Roman" w:hAnsi="Times New Roman" w:cs="Times New Roman"/>
          <w:color w:val="000000"/>
        </w:rPr>
        <w:t xml:space="preserve">1968] EA 611;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Bozson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Altringram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Urban District Council </w:t>
      </w:r>
      <w:r>
        <w:rPr>
          <w:rFonts w:ascii="Times New Roman" w:hAnsi="Times New Roman" w:cs="Times New Roman"/>
          <w:color w:val="000000"/>
        </w:rPr>
        <w:t xml:space="preserve">[1903] 1 KB 547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Salaman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Warner</w:t>
      </w:r>
      <w:r w:rsidR="00E55B4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others </w:t>
      </w:r>
      <w:r>
        <w:rPr>
          <w:rFonts w:ascii="Times New Roman" w:hAnsi="Times New Roman" w:cs="Times New Roman"/>
          <w:color w:val="000000"/>
        </w:rPr>
        <w:t>[1891] 1QB 734.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holding by the taxing officer which gave rise to the Defendant’s complaint is contained in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passage from the taxation ruling: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Attorney-General v Uganda Blanket Manufacturers [1974] Ltd</w:t>
      </w:r>
      <w:r>
        <w:rPr>
          <w:rFonts w:ascii="Times New Roman" w:hAnsi="Times New Roman" w:cs="Times New Roman"/>
          <w:color w:val="000000"/>
          <w:sz w:val="20"/>
          <w:szCs w:val="20"/>
        </w:rPr>
        <w:t>, the value of the subject matter was also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stressed as the one of the factors to be borne in mind.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Masembe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argued that the subject matter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appeal was not monetary. However, and with respect, one would wonder what the effect of dismissing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appeal by the Court of Appeal would have been. If the Appellant had not appealed to the Supreme Court, then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he would have lost the chance to claim US$ 1 713 665-70, equivalent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2 632 473 533-50. That is the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of money the Appellant was pursing, and therefore, its appeal was of paramount interest to him. I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have also read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Registered Trustees of Kampala Institute v Departed Asian Property Custodian</w:t>
      </w:r>
      <w:r w:rsidR="00E55B4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Board </w:t>
      </w:r>
      <w:r>
        <w:rPr>
          <w:rFonts w:ascii="Times New Roman" w:hAnsi="Times New Roman" w:cs="Times New Roman"/>
          <w:color w:val="000000"/>
          <w:sz w:val="20"/>
          <w:szCs w:val="20"/>
        </w:rPr>
        <w:t>civil application number 3 of 1995 of this Court. It was held in that case that value can be and is often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taken into account during taxation (page 9). And whereas in that case monetary value was not the subject of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litigation for taxation purpose, it is distinguishable to the present case where as already noted, the Appellant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claim is stated in monetary terms 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2 623 473 535-50). If the dismissal order of the Court of Appeal had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been upheld, then the Appellant would not claim the above sums of money”.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Later in the ruling he was more explicitly where he said: </w:t>
      </w:r>
      <w:r w:rsidR="00E55B41">
        <w:rPr>
          <w:rFonts w:ascii="Times New Roman" w:hAnsi="Times New Roman" w:cs="Times New Roman"/>
          <w:color w:val="000000"/>
        </w:rPr>
        <w:t>“I</w:t>
      </w:r>
      <w:r>
        <w:rPr>
          <w:rFonts w:ascii="Times New Roman" w:hAnsi="Times New Roman" w:cs="Times New Roman"/>
          <w:color w:val="000000"/>
        </w:rPr>
        <w:t xml:space="preserve"> find the figure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300 million a bit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high, although what was being claimed was 2</w:t>
      </w:r>
      <w:r w:rsidR="00E55B41">
        <w:rPr>
          <w:rFonts w:ascii="Times New Roman" w:hAnsi="Times New Roman" w:cs="Times New Roman"/>
          <w:color w:val="000000"/>
        </w:rPr>
        <w:t>, 5</w:t>
      </w:r>
      <w:r>
        <w:rPr>
          <w:rFonts w:ascii="Times New Roman" w:hAnsi="Times New Roman" w:cs="Times New Roman"/>
          <w:color w:val="000000"/>
        </w:rPr>
        <w:t xml:space="preserve"> billion shillings. I therefore find and hold that instruction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fees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200 000 000 is reasonable”.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Clearly the taxing officer’s decision on the subject matter of the appeal was influenced by 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repeated assertion that in the appeal the Plaintiff was “pursing” the monetary claim which it would have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lost if the Plaintiff had not appealed or if this Court had upheld the dismissal of the suit.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Needless to say his premise is inaccurate. A dismissal of a suit for failure to provide security for costs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Order 23 of the Civil Procedure Rules is not a bar to pursuing the claim later. Nevertheless, it is in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context that counsel for the Plaintiff strenuously submitted before me, that the dismissal order by the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 was not an interlocutory order, but a final one, and that consequently the appeal from it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be interlocutory. But the two English precedents which counsel cited do not support his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Salaman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Warner and others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headnote defines a final order thus: “A ‘final order’ is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made on such an application or proceeding that, for whichever side the decision is given, it will, if it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stands, finally determine the matter in litigation”. In that case the divisional court had dismissed a suit 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point of law raised by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that the statement of claim did not disclose any cause of action. On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a preliminary issue was raised whether the decision of the divisional court was interlocutory or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final. In his judgment Lord </w:t>
      </w:r>
      <w:proofErr w:type="spellStart"/>
      <w:r>
        <w:rPr>
          <w:rFonts w:ascii="Times New Roman" w:hAnsi="Times New Roman" w:cs="Times New Roman"/>
          <w:color w:val="000000"/>
        </w:rPr>
        <w:t>Esher</w:t>
      </w:r>
      <w:proofErr w:type="spellEnd"/>
      <w:r>
        <w:rPr>
          <w:rFonts w:ascii="Times New Roman" w:hAnsi="Times New Roman" w:cs="Times New Roman"/>
          <w:color w:val="000000"/>
        </w:rPr>
        <w:t xml:space="preserve"> MK said at page 735: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question must depend on what would be the result of the decision of the divisional court ... if their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decision, whichever way it is given, will, if it stands, finally dispose of the matter in dispute, I think that for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purposes of these rules it is final. On the other hand, if their decision, if given one way will finally dispose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matter in dispute, but if given in the other will allow the action to go on then I think it is not final but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interlocutory”.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that basis the Court of Appeal held that the dismissal order by the divisional court was interlocutory.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Bozson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Altringham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Urban District Council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an action was filed for recovery of damages for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breach of contract. An order was made in chambers that only issues of liability and breach of contract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be tried, and the rest of the case, if any, would go to the official referee. Upon trial the judge held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there was no binding contract between the parties. He dismissed the action. The plaintiff appealed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dismissal order. Counsel for the defendant raised a similar preliminary issue. Relying on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test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Salaman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case, he contended that the dismissal order was interlocutory because if the trial Judge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held that there was a binding contract, it would have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 the action to go on before the official referee. The Court of Appeal, however, held that the</w:t>
      </w:r>
      <w:r w:rsidR="00E55B4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dismissal was final. At page 548 Lord </w:t>
      </w:r>
      <w:proofErr w:type="spellStart"/>
      <w:r>
        <w:rPr>
          <w:rFonts w:ascii="Times New Roman" w:hAnsi="Times New Roman" w:cs="Times New Roman"/>
          <w:color w:val="000000"/>
        </w:rPr>
        <w:t>Alverstone</w:t>
      </w:r>
      <w:proofErr w:type="spellEnd"/>
      <w:r>
        <w:rPr>
          <w:rFonts w:ascii="Times New Roman" w:hAnsi="Times New Roman" w:cs="Times New Roman"/>
          <w:color w:val="000000"/>
        </w:rPr>
        <w:t xml:space="preserve"> CJ recast the test thus: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seems to me that the real test for determining this question ought to be this: Does the judgment or order, as</w:t>
      </w:r>
      <w:r w:rsidR="00E55B4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made, finally dispose of the rights of the parties? If it does, then I think it ought to be treated as a final order;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but if it does not, it is then in my opinion, an interlocutory order”.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respectfully agree with that test and would observe that it clearly illustrates the difference between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two decisions.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Salaman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order dismissing the action on the ground that the statement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claim did not disclose any cause of action, was interlocutory because it was concerned with the issue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pleading and did not finally dispose of the rights of the parties. On the other hand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Bozson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decision in ordering the dismissal on the ground that there was no binding contract went to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core of the dispute between the parties and disposed of it. As long as the decision that there was no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binding contract stood, it finally disposed of the rights in dispute.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 application, to the instant case, of the test as formulated either in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Salaman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or in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Bozson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 leads to only one conclusion, namely that neither the dismissal order by the Court of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nor the reinstatement order by this Court, was a final order. The real dispute in litigation between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parties, which is whether the Defendant is liable to pay the money claimed by the Plaintiff, was not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due for determination in either appeal, and was not determined by either the Court of Appeal or by this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I therefore hold that both appeals were interlocutory. Needless to say this holding is only related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ground 3 of the reference, which, in my view, is not very significant, as I will explain later. The more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significant issue is raised in ground 2 and I think the way to resolve it is to consider the correct meaning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rule governing taxation of instruction fees, and apply it accordingly. Paragraph 9(2) of the Third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to the Rules of this Court provides: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“(2) The fee to be allowed for instructions to appeal or to oppose an appeal shall be a sum that the taxing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officer considers reasonable, having regard to the amount involved in the appeal, its nature,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importance and difficulty, the interest of the parties, the other costs to be allowed, the general conduct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proceedings, the fund or person to bear the costs and all other relevant circumstance”.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rule permits the taxing officer, when determining what, </w:t>
      </w:r>
      <w:r>
        <w:rPr>
          <w:rFonts w:ascii="Times New Roman" w:hAnsi="Times New Roman" w:cs="Times New Roman"/>
          <w:color w:val="000000"/>
        </w:rPr>
        <w:lastRenderedPageBreak/>
        <w:t>in a given appeal, is a reasonable sum for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instruction fees, to have regard,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to the “amount involved in (that) appeal”. Undoubtedly, in his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ruling, the learned taxing officer took the view that the monetary claim in the principal suit was “the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 involved in the appeal”. With due respect, however, this was a misdirection. Although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principal suit, and therefore the monetary claim therein, was bound to be, and was actually affected by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outcome of the appeal, the monetary claim was not involved in the appeal. It was not an issue or a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to be determined in the appeal. The issue involved in the appeal was whether there was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sufficient cause shown for the Plaintiff’s failure to comply with the order of security for costs.</w:t>
      </w:r>
      <w:r w:rsidR="00E57B90">
        <w:rPr>
          <w:rFonts w:ascii="Times New Roman" w:hAnsi="Times New Roman" w:cs="Times New Roman"/>
          <w:color w:val="000000"/>
        </w:rPr>
        <w:t xml:space="preserve"> 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view of all the foregoing I hold that it was an error of principle on the part of the taxing officer,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while assessing the fee to be allowed for instructions to appeal, to have regard to the amount claimed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principal suit, when that amount was not involved in the appeal. I also find that, undoubtedly that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error was the substantial basis on which the taxing officer assessed the instruction fee.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Ground 2 of the reference must succeed. As for ground 3, however, to the extent that it </w:t>
      </w:r>
      <w:proofErr w:type="spellStart"/>
      <w:r>
        <w:rPr>
          <w:rFonts w:ascii="Times New Roman" w:hAnsi="Times New Roman" w:cs="Times New Roman"/>
          <w:color w:val="000000"/>
        </w:rPr>
        <w:t>criticises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officer for “failing to decide that the appeal was on an interlocutory matter” I hesitate to say that it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succeeds. Much as I have agreed with the submission for the Defendant that the appeal was not final but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interlocutory, the taxing officer was not under obligation to make a decision on that issue. Although both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addressed him on this issue, it was not an issue that he had necessarily to take into account.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view therefore the taxing officer cannot in the instant case be faulted for failing to decide on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issue. As the rest of the criticism cum argument in ground 3 is identical to ground 2, I find that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substantially ground 3 fails.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do not find much merit in the three grounds of reference which counsel argued next. In ground 4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 is that the taxing officer “erred in law” in holding that the appeal involved difficult matters of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law. I agree with learned counsel for the Defendant that the taxing officer ought not to have taken into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consideration, matters which are extraneous to the appeal. However, in my view, this is not an error that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warranted interference with his assessment. Besides, it appears to me that the outline of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history of the case which the taxing officer said showed that the case “was not all that simple and straight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forward” did not weigh heavily, if at all, in his assessment of the instruction fee. Grounds 5 and 6 are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complaints that the taxing officer erred in principle for not having had regard to his duty to keep costs at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 level, and to the other costs in the Court of Appeal, allowed to the Plaintiff. I am unable to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hold that the learned taxing officer was not alive to these issues merely because they are not expressly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spelt out in his ruling. In the ruling he does say that he read some of the leading precedents on the subject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taxation such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Raicharnd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Quarry Ser</w:t>
      </w:r>
      <w:r>
        <w:rPr>
          <w:rFonts w:ascii="Times New Roman" w:hAnsi="Times New Roman" w:cs="Times New Roman"/>
          <w:color w:val="000000"/>
        </w:rPr>
        <w:t xml:space="preserve">vices </w:t>
      </w:r>
      <w:r>
        <w:rPr>
          <w:rFonts w:ascii="Times New Roman" w:hAnsi="Times New Roman" w:cs="Times New Roman"/>
          <w:i/>
          <w:iCs/>
          <w:color w:val="000000"/>
        </w:rPr>
        <w:t xml:space="preserve">(Number 3) </w:t>
      </w:r>
      <w:r>
        <w:rPr>
          <w:rFonts w:ascii="Times New Roman" w:hAnsi="Times New Roman" w:cs="Times New Roman"/>
          <w:color w:val="000000"/>
        </w:rPr>
        <w:t>[1912] EA 162 and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[1973] Ltd </w:t>
      </w:r>
      <w:r>
        <w:rPr>
          <w:rFonts w:ascii="Times New Roman" w:hAnsi="Times New Roman" w:cs="Times New Roman"/>
          <w:color w:val="000000"/>
        </w:rPr>
        <w:t>civil application number 17 of 1993,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the principles governing taxation of costs are well expounded. Grounds 4, 5 and 6 of the reference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must fail.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Next, counsel argued ground 1. It reads: “Item 1 of the Bill of costs as taxed to the tune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million is in all the circumstances manifestly excessive”.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having regard, to all circumstances which the taxing officer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lawfully take into consideration in the instant case, there was nothing to justify the assessment of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such a large fee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 for instructions to appeal. He emphasized that the appeal was not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one on complex issues of law, but was mainly on the factual question of what amounts to “sufficient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cause” for failure to provide security for costs within prescribed time. He pointed out that the hearing of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appeal had been disposed of in only one morning. On his contention that the amount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 allowed was manifestly excessive, he relied on the decisions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Quarry</w:t>
      </w:r>
      <w:r w:rsidR="00E57B9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services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He submitted that a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reasonable instruction fee in the circumstances would be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million. For comparison he referred me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amounts allowed in the </w:t>
      </w:r>
      <w:r>
        <w:rPr>
          <w:rFonts w:ascii="Times New Roman" w:hAnsi="Times New Roman" w:cs="Times New Roman"/>
          <w:i/>
          <w:iCs/>
          <w:color w:val="000000"/>
        </w:rPr>
        <w:t xml:space="preserve">Registered Trustees of Kampala v DAPCB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); and </w:t>
      </w:r>
      <w:r>
        <w:rPr>
          <w:rFonts w:ascii="Times New Roman" w:hAnsi="Times New Roman" w:cs="Times New Roman"/>
          <w:i/>
          <w:iCs/>
          <w:color w:val="000000"/>
        </w:rPr>
        <w:t>DAPCB v Jaffer</w:t>
      </w:r>
      <w:r w:rsidR="00E57B9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Brothers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supra)</w:t>
      </w:r>
      <w:r>
        <w:rPr>
          <w:rFonts w:ascii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brief reply was that assessment of what is a reasonable fee was in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discretion of the taxing officer, and that the discretion ought not to be interfered with except on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compelling grounds such as injustice. In his view no injustice would result to the Defendant if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assessment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 is upheld.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Quarry Services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is a decision of the Court of Appeal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East Africa. It was a reference to the full Court of a decision of a single judge who had expressed an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opinion </w:t>
      </w:r>
      <w:r>
        <w:rPr>
          <w:rFonts w:ascii="Times New Roman" w:hAnsi="Times New Roman" w:cs="Times New Roman"/>
          <w:color w:val="000000"/>
        </w:rPr>
        <w:lastRenderedPageBreak/>
        <w:t>that the brief fee allowed by the taxing officer was high but declined to interfere with it. In its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the Court indicated what should be the test in assessing a brief fee, which in my opinion 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applicable to an instruction fee. The Court said at 164: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correct approach in assessing a brief fee is, we think, to be found in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Simpsons Motor Sales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(London) Ltd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Herdon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Corporation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[1964] 3 All ER 833, when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Pennycuik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 said: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‘One must envisage 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hypothetical counsel capable of conducting the particular case effectively but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unable or unwilling to insist on the particularly high fee sometimes demanded by counsel of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pre-eminent reputation. Then one must estimate what fee this hypothetical character would be content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take on the 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>brief’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”.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full Court founded that the case “was a difficult one and involved little over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 million”.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had taken a day and half. The Court however held that the costs taxed and allowed at a total sum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55 597-30 was excessive and reduced it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35 597-30.</w:t>
      </w:r>
    </w:p>
    <w:p w:rsidR="00636AA8" w:rsidRPr="00E57B90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was a reference to a single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judge of this Court from taxation of a bill of costs where the taxing officer had allowed a fee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 for instructions to appeal. The costs were in respect of an appeal wherein this Court had,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E57B9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alia</w:t>
      </w:r>
      <w:r>
        <w:rPr>
          <w:rFonts w:ascii="Times New Roman" w:hAnsi="Times New Roman" w:cs="Times New Roman"/>
          <w:color w:val="000000"/>
        </w:rPr>
        <w:t>, granted to the successful Appellant company orders to the following effect: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(a) </w:t>
      </w:r>
      <w:r w:rsidR="00E57B90"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 declaration that at all the material times the company was in possession of, and was entitled to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exclusive possession of the business and residential premises in dispute;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(b) </w:t>
      </w:r>
      <w:r w:rsidR="00E57B90">
        <w:rPr>
          <w:rFonts w:ascii="Times New Roman" w:hAnsi="Times New Roman" w:cs="Times New Roman"/>
          <w:color w:val="000000"/>
        </w:rPr>
        <w:t>An</w:t>
      </w:r>
      <w:r>
        <w:rPr>
          <w:rFonts w:ascii="Times New Roman" w:hAnsi="Times New Roman" w:cs="Times New Roman"/>
          <w:color w:val="000000"/>
        </w:rPr>
        <w:t xml:space="preserve"> order for an account in respect of business and assets in issue; and</w:t>
      </w:r>
    </w:p>
    <w:p w:rsidR="00636AA8" w:rsidRDefault="00636AA8" w:rsidP="00636A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(c) </w:t>
      </w:r>
      <w:r w:rsidR="00E57B90">
        <w:rPr>
          <w:rFonts w:ascii="Times New Roman" w:hAnsi="Times New Roman" w:cs="Times New Roman"/>
          <w:color w:val="000000"/>
        </w:rPr>
        <w:t>General</w:t>
      </w:r>
      <w:r>
        <w:rPr>
          <w:rFonts w:ascii="Times New Roman" w:hAnsi="Times New Roman" w:cs="Times New Roman"/>
          <w:color w:val="000000"/>
        </w:rPr>
        <w:t xml:space="preserve"> damages for trespass.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ruling,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JSC cited with approval the above passage from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Raichand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case, and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this to say about the case before him: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is not clear on what basis such a high award of instruction fee was made. Even if the appeal involved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difficult points of law or the value of the subject matter was large, it is difficult to imagine that a reasonably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competent advocate would demand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200 million to handle the present appeal. Moreover, the public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requires that costs be kept to a reasonable level, so as not to keep the poor litigants out of courts”.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Justice of the Supreme Court held that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 awarded as instruction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fee was manifestly excessive, and he reduced it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50 million. In the instant case, what seems to be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particularly relevant for consideration on this ground is the difficulty of the appeal (if any) and its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importance to the parties.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appeal did not involve any complex or difficult issues at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all, and that it took a short time to dispose of. In response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observed that in the earlier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for further security for costs,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taken a contrary stance and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appeal was complicated. I think that is a fair criticism well taken. He might also have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added that pursuant to the Court of Appeal allowing the Defendant’s appeal with costs,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 w:rsidR="00E57B9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firm of advocates, filed a bill of costs in which the fee claimed for instructions to appeal,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 and yet,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now contends that the Plaintiff’s claim for an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item that is virtually identical, is manifestly excessive.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fairness, however, I have to point out that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himself has exhibited inconsistency in his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arguments. Before me he contended that the dismissal of the suit by the Court of Appeal was a final order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argued that the appeal from that order could not be interlocutory. Apparently, however, when he was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opposing the application for further security of costs he contended that the reinstatement of the suit by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was an interlocutory order, from which contention he should have consistently concluded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appeal against it to, and the resultant order by, the Court of Appeal were also interlocutory. Be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as it may, I have to say that it is a matter of concern that all too often some advocates display similar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inconsistencies and lack of objectivity, a tendency that ought to be discouraged because it undermines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advocates’ duty to assist the courts to arrive at just decisions. In my view, however, such fault does not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 estoppel against the advocate or his client, nor can it be reason for the Court to uphold what it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considers to be erroneous. Consequently I have no hesitation in ignoring the earlier stance of the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Defendant’s counsel, on complexity of the appeal.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view the appeal was very important to the parties. For the Plaintiff the appeal was very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important because if it was not presented, or if it was dismissed, the Plaintiff stood to lose the suit and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had to initiate other proceedings in pursuit of its claim, all very expensively in terms of costs.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Defendant it was important, albeit to a lesser degree, because if the appeal was dismissed, the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Defendant stood a chance of getting off the hook of liability, at least for the time being. Nevertheless I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find that the appeal was anything but difficult. It was a straightforward type of case where the Supreme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was asked to reverse a decision of the Court of Appeal which had erroneously reversed a decision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High Court made in exercise of a discretion to reinstate the order of the High Court. The appeal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not have taken much time in its preparation and clearly took short time in its presentation.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Consequently, like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LSC in </w:t>
      </w:r>
      <w:r>
        <w:rPr>
          <w:rFonts w:ascii="Times New Roman" w:hAnsi="Times New Roman" w:cs="Times New Roman"/>
          <w:i/>
          <w:iCs/>
          <w:color w:val="000000"/>
        </w:rPr>
        <w:t xml:space="preserve">Attorney-General v Uganda Blanket Manufacturers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 am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constrained to remark that I find it difficult to imagine that a reasonably competent advocate could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demand such a large fee for instructions to prosecute the appeal in the instant case. In my view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amount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million as taxed is manifestly excessive, and can only have been arrived at as a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of the error of taking into consideration the monetary claim. Ground 1 of the reference succeeds.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now turn to the remaining grounds of reference, which are concerned with item 5 of the bill of costs.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ground 7, it is complained that the learned taxing officer, in considering instruction fee for opposing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further security of costs, relied solely on the principle that the level of remuneration of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should be such as to attract new recruits to the profession. On that item, the fee claimed was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million. The learned taxing officer’s ruling thereon was as follows: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submitted that the application for security for costs was before a single judge in chambers for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one hour. So he submitted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500 000 would be sufficient. I have read the ruling of his Lordship the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Justice Oder (in) that application for security for costs. I again hold that 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500 000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proposed is too (low). This is especially when I take into consideration what the Supreme Court Justices have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ruled constantly that a successful litigant should be fairly reimbursed, and that the level of remuneration must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be such as to attract recruits to the profession. I therefore, award a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6 million under item 5. I</w:t>
      </w:r>
      <w:r w:rsidR="00E57B9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accordingly tax off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14 million”.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the learned taxing officer refers expressly, to two principles he took into consideration it 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to me that this text does not suggest that they were the only considerations. I think it is not correct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demand that the taxing officer should, in every case and on every item, record in the ruling the whole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litany of considerations contained in paragraph 9(2) reproduced earlier in this ruling. As I held earlier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grounds 5 and 6, I am unable to conclude that the learned taxing officer was not alive to other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principles, merely because he did not expressly reproduce them in the ruling.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7 therefore fails.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8 is similar to ground 1 in that it complains in effect that the amount allowed in item 5 of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 of costs is manifestly excessive. The fee was allowed for instruction to oppose application for further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security for costs.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there was no justification for allowing such a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large fee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million in respect of an application of a routine nature. In his opinion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500 000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have been a reasonable fee.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other hand supported the award as taxed, “having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regard to the complexity involved”. He did not elaborate on the alleged complexity. I have read the ruling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Oder JSC in that application and I have not detected any complexity at all. It seems to me, with due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to counsel, that the application was opposed without much seriousness. Nor is that surprising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of the earlier finding of the High Court, which was not appealed, that the Plaintiff ought to provide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for costs, principally because it had no assets in the country. The arguments raised were simple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easily disposed of. Indeed, the application was granted, but the Learned Justice of Appeal,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his discretion, ordered that costs would be in the cause. Once again I am constrained to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remark that I cannot imagine that a reasonably competent advocate would insist on a fee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million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instructions to make or oppose such an application. In my view that amount is so manifestly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excessive, that I am compelled to infer that it was arrived at as a result of an error of principle, and I hold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it would be unjust to uphold it. Ground 8 succeeds.</w:t>
      </w:r>
    </w:p>
    <w:p w:rsidR="00636AA8" w:rsidRDefault="00636AA8" w:rsidP="00D86E0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two matters I should mention briefly before I conclude this ruling. The first is the provision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paragraph 9(2) to the effect that, in considering instruction fee, the taxing officer may,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have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regard to “the other costs to be allowed”. In his submissions on the ground which I have disallowed,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</w:p>
    <w:p w:rsidR="00B9059A" w:rsidRDefault="00636AA8" w:rsidP="00B90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8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phrase should be construed to refer to costs in the Supreme Court only. I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disagree. I think what is intended is other costs in the same litigation. Where it is applicable the taxing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ought to have regard to other costs, including costs in the lower courts, if awarded, in order to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 what is a reasonable fee. This is not for purposes of any mathematical calculation to deduct or add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costs. It </w:t>
      </w:r>
      <w:r>
        <w:rPr>
          <w:rFonts w:ascii="Times New Roman" w:hAnsi="Times New Roman" w:cs="Times New Roman"/>
          <w:color w:val="000000"/>
        </w:rPr>
        <w:lastRenderedPageBreak/>
        <w:t>is to give to the taxing officer an overview of the costs in the whole litigation rather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confine his mind to a segment thereof. In my view, that way the taxing officer will more rationally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 his duty to the public to keep costs of litigation at reasonable levels without compromising the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principles he has to abide </w:t>
      </w:r>
      <w:proofErr w:type="gramStart"/>
      <w:r>
        <w:rPr>
          <w:rFonts w:ascii="Times New Roman" w:hAnsi="Times New Roman" w:cs="Times New Roman"/>
          <w:color w:val="000000"/>
        </w:rPr>
        <w:t>by.</w:t>
      </w:r>
      <w:proofErr w:type="gramEnd"/>
      <w:r>
        <w:rPr>
          <w:rFonts w:ascii="Times New Roman" w:hAnsi="Times New Roman" w:cs="Times New Roman"/>
          <w:color w:val="000000"/>
        </w:rPr>
        <w:t xml:space="preserve"> If that is ignored, one can imagine a scenario where, after litigation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has gone through the entire hierarchy of courts, the aggregate amount allowed in costs exceeds the value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subject matter in litigation. The second matter is in regard to the relativity of taxed costs,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vis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vis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security for costs. It looks absurd to me, that in a case where the court has ordered security for costs in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 million the successful party is allowed ten times that amount on one item of his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bill of costs. Of course I am not suggesting that taxed costs should be rigidly limited to the amount</w:t>
      </w:r>
      <w:r w:rsidR="00E57B90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ordered as security for costs. However, the two ought to reflect that when the amounts were being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assessed similar consideration were taken into account. That is why it is encouraged that an application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for security for costs should be accompanied with a skeleton bill of costs. In the instant case it is difficult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to imagine that the learned taxing officer had similar consideration in mind when taxing the bill of costs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as the Learned Justice of the Supreme Court had when assessing the amount of security for costs. I think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these two matters are worth mentioning because they featured in this case but I do appreciate that they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are not very material to my decision on the reference.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For purpose of consistency, I have considered some recent awards in decisions of this Court similar to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the instant case. </w:t>
      </w:r>
      <w:r w:rsidR="00B9059A">
        <w:rPr>
          <w:rFonts w:ascii="Times New Roman" w:hAnsi="Times New Roman" w:cs="Times New Roman"/>
          <w:i/>
          <w:iCs/>
          <w:color w:val="000000"/>
        </w:rPr>
        <w:t xml:space="preserve">Patrick </w:t>
      </w:r>
      <w:proofErr w:type="spellStart"/>
      <w:r w:rsidR="00B9059A">
        <w:rPr>
          <w:rFonts w:ascii="Times New Roman" w:hAnsi="Times New Roman" w:cs="Times New Roman"/>
          <w:i/>
          <w:iCs/>
          <w:color w:val="000000"/>
        </w:rPr>
        <w:t>Makumbi</w:t>
      </w:r>
      <w:proofErr w:type="spellEnd"/>
      <w:r w:rsidR="00B9059A">
        <w:rPr>
          <w:rFonts w:ascii="Times New Roman" w:hAnsi="Times New Roman" w:cs="Times New Roman"/>
          <w:i/>
          <w:iCs/>
          <w:color w:val="000000"/>
        </w:rPr>
        <w:t xml:space="preserve"> and another v Sole Electrics (U) Ltd </w:t>
      </w:r>
      <w:r w:rsidR="00B9059A">
        <w:rPr>
          <w:rFonts w:ascii="Times New Roman" w:hAnsi="Times New Roman" w:cs="Times New Roman"/>
          <w:color w:val="000000"/>
        </w:rPr>
        <w:t>civil application number 111/94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(UR) was a reference to a single judge of this Court, from an order of the taxing officer who had allowed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a fee of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12 million for instructions to appeal. In his ruling given in May 1994 </w:t>
      </w:r>
      <w:proofErr w:type="spellStart"/>
      <w:r w:rsidR="00B9059A">
        <w:rPr>
          <w:rFonts w:ascii="Times New Roman" w:hAnsi="Times New Roman" w:cs="Times New Roman"/>
          <w:color w:val="000000"/>
        </w:rPr>
        <w:t>Manyindo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DCJ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observed that the appeal had been against an interlocutory order, and the Appellant had succeeded on a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point of law which the Respondent had easily conceded. He reduced the instructions fee to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2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million. In </w:t>
      </w:r>
      <w:r w:rsidR="00B9059A">
        <w:rPr>
          <w:rFonts w:ascii="Times New Roman" w:hAnsi="Times New Roman" w:cs="Times New Roman"/>
          <w:i/>
          <w:iCs/>
          <w:color w:val="000000"/>
        </w:rPr>
        <w:t xml:space="preserve">The Registered Trustees of Kampala Institute v DAPCB </w:t>
      </w:r>
      <w:r w:rsidR="00B9059A">
        <w:rPr>
          <w:rFonts w:ascii="Times New Roman" w:hAnsi="Times New Roman" w:cs="Times New Roman"/>
          <w:color w:val="000000"/>
        </w:rPr>
        <w:t>(</w:t>
      </w:r>
      <w:r w:rsidR="00B9059A">
        <w:rPr>
          <w:rFonts w:ascii="Times New Roman" w:hAnsi="Times New Roman" w:cs="Times New Roman"/>
          <w:i/>
          <w:iCs/>
          <w:color w:val="000000"/>
        </w:rPr>
        <w:t>supra</w:t>
      </w:r>
      <w:r w:rsidR="00B9059A">
        <w:rPr>
          <w:rFonts w:ascii="Times New Roman" w:hAnsi="Times New Roman" w:cs="Times New Roman"/>
          <w:color w:val="000000"/>
        </w:rPr>
        <w:t>) this Court, in July 1995,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sitting on a reference from a single judge, upheld the decision of the single judge reducing a fee of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70 million allowed by the taxing officer for instructions to appeal, to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7 million. The taxing officer,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in assessing the instruction fee, had taken into consideration the value of the expropriated property in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question. This was held to be an error of principle, because what was involved in the appeal was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interpretation of provisions of section 1(1</w:t>
      </w:r>
      <w:proofErr w:type="gramStart"/>
      <w:r w:rsidR="00B9059A">
        <w:rPr>
          <w:rFonts w:ascii="Times New Roman" w:hAnsi="Times New Roman" w:cs="Times New Roman"/>
          <w:color w:val="000000"/>
        </w:rPr>
        <w:t>)(</w:t>
      </w:r>
      <w:proofErr w:type="gramEnd"/>
      <w:r w:rsidR="00B9059A">
        <w:rPr>
          <w:rFonts w:ascii="Times New Roman" w:hAnsi="Times New Roman" w:cs="Times New Roman"/>
          <w:i/>
          <w:iCs/>
          <w:color w:val="000000"/>
        </w:rPr>
        <w:t>c</w:t>
      </w:r>
      <w:r w:rsidR="00B9059A">
        <w:rPr>
          <w:rFonts w:ascii="Times New Roman" w:hAnsi="Times New Roman" w:cs="Times New Roman"/>
          <w:color w:val="000000"/>
        </w:rPr>
        <w:t>) of the Expropriate Properties Act 1982, in order to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determine if those provisions applied to the expropriated property. In </w:t>
      </w:r>
      <w:r w:rsidR="00B9059A">
        <w:rPr>
          <w:rFonts w:ascii="Times New Roman" w:hAnsi="Times New Roman" w:cs="Times New Roman"/>
          <w:i/>
          <w:iCs/>
          <w:color w:val="000000"/>
        </w:rPr>
        <w:t>DAPCB v Jaffer Brother Ltd</w:t>
      </w:r>
      <w:r w:rsidR="00B9059A">
        <w:rPr>
          <w:rFonts w:ascii="Times New Roman" w:hAnsi="Times New Roman" w:cs="Times New Roman"/>
          <w:color w:val="000000"/>
        </w:rPr>
        <w:t>, civil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application number 13 of 1999 (UR), the order of the taxing officer to allow a fee of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16 million for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instructions to oppose an appeal was referred to me. The taxing officer had similarly erred by taking into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account, </w:t>
      </w:r>
      <w:r w:rsidR="00B9059A">
        <w:rPr>
          <w:rFonts w:ascii="Times New Roman" w:hAnsi="Times New Roman" w:cs="Times New Roman"/>
          <w:i/>
          <w:iCs/>
          <w:color w:val="000000"/>
        </w:rPr>
        <w:t>inter alia</w:t>
      </w:r>
      <w:r w:rsidR="00B9059A">
        <w:rPr>
          <w:rFonts w:ascii="Times New Roman" w:hAnsi="Times New Roman" w:cs="Times New Roman"/>
          <w:color w:val="000000"/>
        </w:rPr>
        <w:t>, the value and importance of a residential property which was in issue in the main suit,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when that was not involved in the appeal. The appeal, which was against an interlocutory order, had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involved a question of joinder of parties and the interpretation of Order 1, Rule 10(2) of the Civil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Procedure Rules. I reduced the instruction fee from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16 million to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4 million.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In my view the appeal in the instant case is not very different from the three I have just referred to. It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seems to me, however, that the work involved for the advocate, was lighter than that in </w:t>
      </w:r>
      <w:r w:rsidR="00B9059A">
        <w:rPr>
          <w:rFonts w:ascii="Times New Roman" w:hAnsi="Times New Roman" w:cs="Times New Roman"/>
          <w:i/>
          <w:iCs/>
          <w:color w:val="000000"/>
        </w:rPr>
        <w:t>Registered</w:t>
      </w:r>
      <w:r w:rsidR="00B9059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9059A">
        <w:rPr>
          <w:rFonts w:ascii="Times New Roman" w:hAnsi="Times New Roman" w:cs="Times New Roman"/>
          <w:i/>
          <w:iCs/>
          <w:color w:val="000000"/>
        </w:rPr>
        <w:t xml:space="preserve">Trustees of Kampala Institute </w:t>
      </w:r>
      <w:r w:rsidR="00B9059A">
        <w:rPr>
          <w:rFonts w:ascii="Times New Roman" w:hAnsi="Times New Roman" w:cs="Times New Roman"/>
          <w:color w:val="000000"/>
        </w:rPr>
        <w:t xml:space="preserve">case and that in </w:t>
      </w:r>
      <w:r w:rsidR="00B9059A">
        <w:rPr>
          <w:rFonts w:ascii="Times New Roman" w:hAnsi="Times New Roman" w:cs="Times New Roman"/>
          <w:i/>
          <w:iCs/>
          <w:color w:val="000000"/>
        </w:rPr>
        <w:t xml:space="preserve">Jaffer Brother’s </w:t>
      </w:r>
      <w:r w:rsidR="00B9059A">
        <w:rPr>
          <w:rFonts w:ascii="Times New Roman" w:hAnsi="Times New Roman" w:cs="Times New Roman"/>
          <w:color w:val="000000"/>
        </w:rPr>
        <w:t>case. Having regard to what I have said, I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think it is just that the instruction fees on both items 1 and 5 be reduced. In regard to the instructions to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appeal, I am of the view that the amount proposed by </w:t>
      </w:r>
      <w:proofErr w:type="spellStart"/>
      <w:r w:rsidR="00B9059A">
        <w:rPr>
          <w:rFonts w:ascii="Times New Roman" w:hAnsi="Times New Roman" w:cs="Times New Roman"/>
          <w:color w:val="000000"/>
        </w:rPr>
        <w:t>Mr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9059A">
        <w:rPr>
          <w:rFonts w:ascii="Times New Roman" w:hAnsi="Times New Roman" w:cs="Times New Roman"/>
          <w:color w:val="000000"/>
        </w:rPr>
        <w:t>Masembe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9059A"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 w:rsidR="00B9059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is on the higher side in the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circumstances. However, it is not </w:t>
      </w:r>
      <w:proofErr w:type="gramStart"/>
      <w:r w:rsidR="00B9059A">
        <w:rPr>
          <w:rFonts w:ascii="Times New Roman" w:hAnsi="Times New Roman" w:cs="Times New Roman"/>
          <w:color w:val="000000"/>
        </w:rPr>
        <w:t>so</w:t>
      </w:r>
      <w:proofErr w:type="gramEnd"/>
      <w:r w:rsidR="00B9059A">
        <w:rPr>
          <w:rFonts w:ascii="Times New Roman" w:hAnsi="Times New Roman" w:cs="Times New Roman"/>
          <w:color w:val="000000"/>
        </w:rPr>
        <w:t xml:space="preserve"> high as would compel me to ignore what in effect is a concession on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the part of the Defendant. Accordingly I hold that the reasonable fee for instructions to appeal would be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7 million. I am, however, not inclined to do the same in respect of the instructions to oppose the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>application for further costs. For the reason I have already stated I think only a minimal fee ought to be</w:t>
      </w:r>
      <w:r w:rsidR="00B9059A">
        <w:rPr>
          <w:rFonts w:ascii="Times New Roman" w:hAnsi="Times New Roman" w:cs="Times New Roman"/>
          <w:color w:val="000000"/>
        </w:rPr>
        <w:t xml:space="preserve"> </w:t>
      </w:r>
      <w:r w:rsidR="00B9059A">
        <w:rPr>
          <w:rFonts w:ascii="Times New Roman" w:hAnsi="Times New Roman" w:cs="Times New Roman"/>
          <w:color w:val="000000"/>
        </w:rPr>
        <w:t xml:space="preserve">allowed. In my view </w:t>
      </w:r>
      <w:proofErr w:type="spellStart"/>
      <w:r w:rsidR="00B9059A">
        <w:rPr>
          <w:rFonts w:ascii="Times New Roman" w:hAnsi="Times New Roman" w:cs="Times New Roman"/>
          <w:color w:val="000000"/>
        </w:rPr>
        <w:t>UShs</w:t>
      </w:r>
      <w:proofErr w:type="spellEnd"/>
      <w:r w:rsidR="00B9059A">
        <w:rPr>
          <w:rFonts w:ascii="Times New Roman" w:hAnsi="Times New Roman" w:cs="Times New Roman"/>
          <w:color w:val="000000"/>
        </w:rPr>
        <w:t xml:space="preserve"> 300 000 is reasonable.</w:t>
      </w:r>
      <w:r w:rsidR="00B9059A">
        <w:rPr>
          <w:rFonts w:ascii="Times New Roman" w:hAnsi="Times New Roman" w:cs="Times New Roman"/>
          <w:color w:val="000000"/>
        </w:rPr>
        <w:t xml:space="preserve"> </w:t>
      </w:r>
    </w:p>
    <w:p w:rsidR="00B9059A" w:rsidRDefault="00B9059A" w:rsidP="00B90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the result, I allow the reference, and reduce the fee in item 1 of the bill of cost from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million, and the fee in item 5 from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6 million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300 000. The Defendant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shall have costs of this reference.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B9059A" w:rsidRDefault="00B9059A" w:rsidP="00B90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9059A" w:rsidRDefault="00B9059A" w:rsidP="00B905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KANYEIHAMBA JSC: </w:t>
      </w:r>
      <w:r>
        <w:rPr>
          <w:rFonts w:ascii="Times New Roman" w:hAnsi="Times New Roman" w:cs="Times New Roman"/>
          <w:color w:val="000000"/>
        </w:rPr>
        <w:t>This is a reference to me under Rule 105(1) of the Rules of this Court, from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decision of the registrar as a taxing officer.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to this reference is that following the judgment of this Court in civil appeal number 8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1998, the Respondent was awarded costs in that appeal. The costs were taxed by the learned registrar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9 November 1999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206 435 550. The Applicant </w:t>
      </w:r>
      <w:r>
        <w:rPr>
          <w:rFonts w:ascii="Times New Roman" w:hAnsi="Times New Roman" w:cs="Times New Roman"/>
          <w:color w:val="000000"/>
        </w:rPr>
        <w:lastRenderedPageBreak/>
        <w:t>referred that decision to a single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of this Court and pending the decision in that application, the Appellant made an application for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stay of execution of that taxed bill. The application was granted with costs in favour of the Respondent.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bill of costs was filed for taxation before His Worship </w:t>
      </w:r>
      <w:proofErr w:type="spellStart"/>
      <w:r>
        <w:rPr>
          <w:rFonts w:ascii="Times New Roman" w:hAnsi="Times New Roman" w:cs="Times New Roman"/>
          <w:color w:val="000000"/>
        </w:rPr>
        <w:t>Kisawuzi</w:t>
      </w:r>
      <w:proofErr w:type="spellEnd"/>
      <w:r>
        <w:rPr>
          <w:rFonts w:ascii="Times New Roman" w:hAnsi="Times New Roman" w:cs="Times New Roman"/>
          <w:color w:val="000000"/>
        </w:rPr>
        <w:t>, who allowed the instruction fee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stay of execution in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million. It is that item on the taxed costs which is the subject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reference before me.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reference contains 6 grounds framed as follows: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item 1 of the Bill of Costs as taxed to the tune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 million is in all the circumstances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manifestly excessive.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That the taxing officer erred in law, whilst taxing item 1 of the Bill of costs, in holding that the value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subject matter was the amount of the disputed taxed costs being UShs206 433 550.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That the taxing officer erred in law, whilst taxing item 1 of the Bill of Costs, in failing to decide 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stay of execution application was of an interlocutory matter and as such should only carry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minimum instruction fee.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That the taxing officer erred in law, whilst taxing item 1 of the Bill of Costs, in failing to take into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consideration the fact that that application was straight forward and did not involve unusually difficult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of law.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5. That the taxing officer erred in principle, whilst taxing item 1 of the Bill of Costs, in not taking into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 adequately or at all the public interest principle which requires that costs be kept to 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reasonable level so as not to keep poor litigants out of court.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6. The taxing officer erred in principle, whilst taxing item 1 of the Bill of Costs, in failing to take into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account the other costs to be allowed being the costs of the reference itself.”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color w:val="000000"/>
        </w:rPr>
        <w:t>, counsel for the Applicant, argued grounds 2, 3 and 4 together, grounds 5 and 6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 and ground 1 alone. On grounds 2, 3 and 4 counsel submitted that costs in this Court should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assessed in accordance with paragraph 9(1) of the Third Schedule to the Rules of the Court.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distinguished paragraph 9(1) from 9(2) and submitted that the former excludes the subject matter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litigation from the items, which should guide a taxing officer, whereas 9(2) includes it. He contended that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 for the difference is because 9(1) is only dealing with applications which are confined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interlocutory matters whereas 9(2) deals with appeals which go to the substance of the litigation.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further contended that in this particular case, the Bill of Costs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206 433 550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contested and is in fact the subject of a pending application before another single judge of this Court.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consequence, counsel submitted that to award costs for the stay of execution would be condemning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 to pay double costs and conversely, awarding the Respondent in costs twice. Counsel criticized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taxing officer for taking into account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wrong principle in determining the quantum of costs when he applied, without discrimination,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rule laid down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and another v Quarry Services of East Africa and others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[1972] EA 162. For these reasons, counsel for the Applicant submitted that grounds 2, 3, and 4 of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should succeed.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>, counsel for the Respondent, opposed the application. On grounds 1, 2, 3 and 4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reference,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rule 9(1) of the Rules in the Third Schedule requires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officer to be fair and reasonable in awarding costs. Learned counsel contended that the award of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was fair and reasonable under the background and circumstances of this case. It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counsel’s contention that before reaching his decision, the learned taxing officer took into consideration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fact that the Respondent was being deprived of the rewards of his success when the stay of execution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granted. Moreover, this was a case in which colossal sums of money were involved and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already lost much by the Applicant’s delaying tactics of prolonging litigation in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case. In any event, the Respondent had done a lot of work in vigorously opposing the application for stay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execution, which was intended to deprive it of its just rewards. Now those rewards were being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unnecessarily delayed. Therefore, the Respondent ought to be allowed some reasonable costs by way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some insurance and that is the meaning of the taxing officer’s award which was quite fair and reasonable.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cited </w:t>
      </w:r>
      <w:r>
        <w:rPr>
          <w:rFonts w:ascii="Times New Roman" w:hAnsi="Times New Roman" w:cs="Times New Roman"/>
          <w:i/>
          <w:iCs/>
          <w:color w:val="000000"/>
        </w:rPr>
        <w:t xml:space="preserve">Ambalal N Patel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Marietti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[1957] EA 194 as authority for his submission that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taxation of costs regarding execution proceedings, the taxing officer has to take into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account the value of the subject matter in dispute.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it was wrong on the part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counsel for the Applicant to argue that high costs would discourage poor litigants from going to court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the principle to be applied was that each case should be decided on its own merits. Counsel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it was quite right and legitimate for the taxing officer to take into account the amount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involved in the principal suit. He contended that rule 105(4) of the Rules of this Court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to this application in that it provides that there shall be no reference on a question of quantum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and yet, this is precisely what the application is about. He contended that there was no merit in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therefore grounds 1, 2 3 and 4 of the reference should be dismissed.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grounds 5 and 6 counsel for the Applicant contended that the application for stay of execution was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straightforward </w:t>
      </w:r>
      <w:r>
        <w:rPr>
          <w:rFonts w:ascii="Times New Roman" w:hAnsi="Times New Roman" w:cs="Times New Roman"/>
          <w:color w:val="000000"/>
        </w:rPr>
        <w:lastRenderedPageBreak/>
        <w:t>application which was disposed of in under 45 minutes and did not involve any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complicated points of law. He therefore submitted that this is an application which should not attract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anything more than between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700 000 and 800 000 in instruction fees. He referred to a number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decided cases including </w:t>
      </w:r>
      <w:r>
        <w:rPr>
          <w:rFonts w:ascii="Times New Roman" w:hAnsi="Times New Roman" w:cs="Times New Roman"/>
          <w:i/>
          <w:iCs/>
          <w:color w:val="000000"/>
        </w:rPr>
        <w:t xml:space="preserve">Departed Asians Property Custodian Board v Jaffer Brothers Ltd </w:t>
      </w:r>
      <w:r>
        <w:rPr>
          <w:rFonts w:ascii="Times New Roman" w:hAnsi="Times New Roman" w:cs="Times New Roman"/>
          <w:color w:val="000000"/>
        </w:rPr>
        <w:t>civil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number 13 of 1999 (SC) (UR). </w:t>
      </w:r>
      <w:r>
        <w:rPr>
          <w:rFonts w:ascii="Times New Roman" w:hAnsi="Times New Roman" w:cs="Times New Roman"/>
          <w:i/>
          <w:iCs/>
          <w:color w:val="000000"/>
        </w:rPr>
        <w:t>Registered Trustees of Kampala Institute v Departed Asian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Property Custodian Board </w:t>
      </w:r>
      <w:r>
        <w:rPr>
          <w:rFonts w:ascii="Times New Roman" w:hAnsi="Times New Roman" w:cs="Times New Roman"/>
          <w:color w:val="000000"/>
        </w:rPr>
        <w:t>and civil application number 3 of 1995 (SC) (UR) in support of 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for reducing award of costs. Counsel further contended that costs should not be so high as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deter potential litigants and a taxing officer should base the quantum of costs on a hypothetical counsel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would be contented to prosecute a case on modest fees.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Lastly,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submissions on ground 1. He contended that the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10 million was manifestly excessive. While conceding that courts may not interfere with awards of costs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 where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wrong principles have been applied or the amounts allowed are excessive, it was nevertheless 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 in this particular case that the amount awarded was excessive. Counsel prayed that the award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be set aside and the Court decide what is reasonable and fair.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submissions on ground 5 and 6 and observed that the authorities cited by counsel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 only dealt with substantive issues in appeals and not interlocutory matters. 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contended that the accepted principle was that a successful litigant should get his costs regardless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wealth or status. Counsel, citing the view of the single judge,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in the </w:t>
      </w:r>
      <w:r>
        <w:rPr>
          <w:rFonts w:ascii="Times New Roman" w:hAnsi="Times New Roman" w:cs="Times New Roman"/>
          <w:i/>
          <w:iCs/>
          <w:color w:val="000000"/>
        </w:rPr>
        <w:t xml:space="preserve">Jaffer Brothers </w:t>
      </w:r>
      <w:r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said that there was no mathematical formula for determining the correct quantum of costs. Each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must be decided on its own facts and circumstances. Counsel contended that there were no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compelling reasons to justify any interference with the decision of the learned taxing officer. He further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contended that the submissions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other costs in the suit should be taken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account when taxing costs are erroneous. In any event, counsel for the Applicant having contended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in assessing costs in applications, the subject matter should not count, he was now saying that in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it should. Since other costs in the case are a subject matter, counsel for the Applicant should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estopped from making that submission as was held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Alexander 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Okello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M/s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Kayondo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 Advocates </w:t>
      </w:r>
      <w:r>
        <w:rPr>
          <w:rFonts w:ascii="Times New Roman" w:hAnsi="Times New Roman" w:cs="Times New Roman"/>
          <w:color w:val="000000"/>
        </w:rPr>
        <w:t>in civil appeal number 1 of 1992 (CA) (UR). Counsel prayed that all in all, the application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reference should be dismissed.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color w:val="000000"/>
        </w:rPr>
        <w:t>, by way of clarification, contended that courts should operate through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precedents and not personalities or status. He submitted that his clients had not been, as claimed 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behalf of the Respondent, indulging in delaying tactics, but had vigorously and expeditiously pursued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interests in accordance with the law.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this application raises two pertinent matters, namely, whether the learned taxing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applied the wrong principle or principles when determining costs to be paid following the stay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and whether the quantum of costs which he eventually decided to award was manifestly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excessive. The law prescribes the guidelines for a taxing officer, which must be followed. Once these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guidelines have been adhered to, the quantum of costs is largely left to the discretion of the taxing officer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this Court will not normally interfere with the exercise of that discretion unless the amounts allowed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manifestly excessive.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Thus, in </w:t>
      </w:r>
      <w:r>
        <w:rPr>
          <w:rFonts w:ascii="Times New Roman" w:hAnsi="Times New Roman" w:cs="Times New Roman"/>
          <w:i/>
          <w:iCs/>
          <w:color w:val="000000"/>
        </w:rPr>
        <w:t>Registered Trustee of Kampala Institute v Departed Asians Property Custodian Board</w:t>
      </w:r>
      <w:r>
        <w:rPr>
          <w:rFonts w:ascii="Times New Roman" w:hAnsi="Times New Roman" w:cs="Times New Roman"/>
          <w:color w:val="000000"/>
        </w:rPr>
        <w:t>, civil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number 3 of 1995 (SC) this Court held: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“We have already stated that in appropriate cases the value of the subject matter can be a basis for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taxation of a bill of costs. But in our view, we repeat that the decision in this case is such that value cannot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nor could it be a basis for taxation of the instruction fee”.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Paragraph 9 of the Third Schedule to the Rules of this Court provides: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“9(1) the fee to be allowed for instructions to make, support or oppose any application shall be a sum 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taxation officer considers reasonable but shall not be less than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1 000.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The fee to be allowed for instructions to appeal or to oppose an appeal shall be a sum that the taxing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officer considers reasonable, having regard to the amount involved in the appeal, its nature,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importance and difficult, the interest of the parties, the other costs to be allowed, the general conduct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proceedings, the fund or persons to bear the costs and all other relevant circumstances”.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subject matter of this application is what is prescribed in paragraph 9(1), and not 9(2),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Schedule. Once it is conceded that the disputed costs are in connection with an application, then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reasonableness of the taxing officer in relation to the application must be judged within the confines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9(1). The costs should be determined according to the instructions and the actual work done in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to “make, support, or oppose an application”. In my view, any reference to the subject matter, other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costs, poor litigants, hypothetical counsel, Appellant’s tactics in causing delays in the prosecution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suit, colossal sums involved and </w:t>
      </w:r>
      <w:r>
        <w:rPr>
          <w:rFonts w:ascii="Times New Roman" w:hAnsi="Times New Roman" w:cs="Times New Roman"/>
          <w:color w:val="000000"/>
        </w:rPr>
        <w:lastRenderedPageBreak/>
        <w:t>costs for stay of execution being some form of insurance for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Respondent, which both counsel paraded around either in the pleadings or submissions, are all irrelevant.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opinion, therefore, ground 5 and 6 of this application insofar as they </w:t>
      </w:r>
      <w:proofErr w:type="spellStart"/>
      <w:r>
        <w:rPr>
          <w:rFonts w:ascii="Times New Roman" w:hAnsi="Times New Roman" w:cs="Times New Roman"/>
          <w:color w:val="000000"/>
        </w:rPr>
        <w:t>criticise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taxing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 for not taking into account matters which are confined to paragraph 9(2) of the Third Schedule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of this Court, have no merit in them and ought to be dismissed.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consider grounds 2 and 3 of the application. There is no doubt in my mind that the learned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taxing officer applied the wrong principle before coming to this decision. He stated that the principles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governing taxation and which a taxing officer should take into account were laid down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and another v Quarry Services of East Africa and others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Having enumerated those principles, he said: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the instant case, bearing in mind the foregoing, I am of the considered opinion that the value of the subject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matter must be taken into account in the assessment of the instruction fee. It is quite evident that in essence, it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was the threatened execution of an award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UShs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206 433 550 which the Applicant feared to lose that they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filed for stay of execution. I therefore disagree with the learned counsel for the Applicant that the value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subject matter should not be considered at this stage simply because the reference is still pending”.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clear that the learned taxing officer treated the matter before him, which was based on 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as if it was an appeal. I therefore agree with learned counsel for the Applicant that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taxing officer applied the wrong principle which is prescribed in paragraph 9(2) instead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correct one which is enshrined in paragraph 9(1). In the </w:t>
      </w:r>
      <w:r>
        <w:rPr>
          <w:rFonts w:ascii="Times New Roman" w:hAnsi="Times New Roman" w:cs="Times New Roman"/>
          <w:i/>
          <w:iCs/>
          <w:color w:val="000000"/>
        </w:rPr>
        <w:t>Departed Asian Property Custodian Board v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Jaffer Brothers Limited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JSC said that where a taxing officer expressly bases his opinion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 wrong principle resulting in allowing too high or too low an amount, the court will intervene. I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agree. In my opinion therefore, grounds 2 and 3 of this application ought to succeed.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will now consider grounds 1 and 4 of the application. The reasonableness and quantum of costs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awarded or to be awarded in connection with an application must depend on the instructions themselves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the amount of work done to make, support or oppose the application.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Masembe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Kanyerezi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proceedings for stay of execution took less than forty-five minutes to complete.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for the Respondent did not oppose or comment upon this duration of the hearing.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Semuyaba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Respondent, submitted that through him the Respondent vigorously opposed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for stay of execution. Counsel for the Applicant did not oppose or comment upon this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submission. It can be surmised that both the presentation and opposition of the application for stay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execution were done within less than forty-five minutes. Nevertheless, in my opinion, this was an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application, which should have taken a much shorter time than what is roughly indicated by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submissions of counsel. In the </w:t>
      </w:r>
      <w:r>
        <w:rPr>
          <w:rFonts w:ascii="Times New Roman" w:hAnsi="Times New Roman" w:cs="Times New Roman"/>
          <w:i/>
          <w:iCs/>
          <w:color w:val="000000"/>
        </w:rPr>
        <w:t xml:space="preserve">Patrick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Makumbi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11 of 1994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in which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taxed costs had been allowed by the taxing officer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12 million in an application which took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minutes to complete, the learned </w:t>
      </w:r>
      <w:proofErr w:type="spellStart"/>
      <w:r>
        <w:rPr>
          <w:rFonts w:ascii="Times New Roman" w:hAnsi="Times New Roman" w:cs="Times New Roman"/>
          <w:color w:val="000000"/>
        </w:rPr>
        <w:t>Manyindo</w:t>
      </w:r>
      <w:proofErr w:type="spellEnd"/>
      <w:r>
        <w:rPr>
          <w:rFonts w:ascii="Times New Roman" w:hAnsi="Times New Roman" w:cs="Times New Roman"/>
          <w:color w:val="000000"/>
        </w:rPr>
        <w:t xml:space="preserve"> DCJ observed that the award was manifestly excessive and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reduced it to a mere UShs2 million and this was in 1994. In </w:t>
      </w:r>
      <w:r>
        <w:rPr>
          <w:rFonts w:ascii="Times New Roman" w:hAnsi="Times New Roman" w:cs="Times New Roman"/>
          <w:i/>
          <w:iCs/>
          <w:color w:val="000000"/>
        </w:rPr>
        <w:t>Attorney-General v Uganda Blanket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Manufacturers (1973) Ltd </w:t>
      </w:r>
      <w:r>
        <w:rPr>
          <w:rFonts w:ascii="Times New Roman" w:hAnsi="Times New Roman" w:cs="Times New Roman"/>
          <w:color w:val="000000"/>
        </w:rPr>
        <w:t xml:space="preserve">civil application number 17 of 1993,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JSC said that allowance must be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made for the fall in the value of money. This principle was also stated and applied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Premchand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Quarry Services (Number 3)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). In </w:t>
      </w:r>
      <w:r>
        <w:rPr>
          <w:rFonts w:ascii="Times New Roman" w:hAnsi="Times New Roman" w:cs="Times New Roman"/>
          <w:i/>
          <w:iCs/>
          <w:color w:val="000000"/>
        </w:rPr>
        <w:t>Attorney-General v Uganda Blankets Manufacturers [1973]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), the Learned Justice of the Supreme Court reduced an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233 092 100 to a mere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57 092 100. In each case, the Learned Justices were of the opinions that the awards had been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manifestly excessive.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my view, an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in a simple application stay of execution of another award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costs which is pending a review of a single Justice of the same court and where the main suit between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parties is still to be resolved, is manifestly excessive. Grounds 1 and 4 of this application ought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succeed. All in all, this appeal succeeds. Consequently, the taxing officer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 million is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reduced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million. In light of what I have stated relating to the grounds of reference before me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length it took to prosecute the application for stay of execution in civil application number 20 of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1999, each party is to pay its own costs.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Applicant:</w:t>
      </w:r>
    </w:p>
    <w:p w:rsidR="00B9059A" w:rsidRDefault="00B9059A" w:rsidP="00B90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B9059A" w:rsidRDefault="00B9059A" w:rsidP="00B90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2640CC" w:rsidRDefault="00B9059A" w:rsidP="00B9059A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A8"/>
    <w:rsid w:val="002640CC"/>
    <w:rsid w:val="00636AA8"/>
    <w:rsid w:val="00B45984"/>
    <w:rsid w:val="00B9059A"/>
    <w:rsid w:val="00D86E07"/>
    <w:rsid w:val="00E55B41"/>
    <w:rsid w:val="00E57B90"/>
    <w:rsid w:val="00F6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14D1A-5719-4F75-9669-C2FF83DD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9098</Words>
  <Characters>51859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7</cp:revision>
  <dcterms:created xsi:type="dcterms:W3CDTF">2018-07-05T09:58:00Z</dcterms:created>
  <dcterms:modified xsi:type="dcterms:W3CDTF">2018-07-13T19:04:00Z</dcterms:modified>
</cp:coreProperties>
</file>