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Bantariza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Harbe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International Trading Co Ltd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14 June 2000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14/99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Alleged abuse of process of court – Costs – Respondent awarded costs by Supreme Court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Application to have order awarding costs set aside – Parties – Rightful parties to suit – Devolution of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interest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suit property – Whether the Respondent abused the process of court by failing to state that it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had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disposed of the suit property – Order XXI, Rule 9(1) – Civil Procedure Rules.</w:t>
      </w:r>
    </w:p>
    <w:p w:rsidR="00FF0AE1" w:rsidRDefault="00AB49BC" w:rsidP="00A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FF0AE1" w:rsidRDefault="00FF0AE1" w:rsidP="00F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ODER, TSEKOOKO, KAROKORA, KANYEIHAMBA AND MUKASA-KIKONYOGO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JJSC: </w:t>
      </w:r>
      <w:r>
        <w:rPr>
          <w:rFonts w:ascii="Times New Roman" w:hAnsi="Times New Roman" w:cs="Times New Roman"/>
          <w:color w:val="000000"/>
        </w:rPr>
        <w:t xml:space="preserve">The Applicant Francis </w:t>
      </w:r>
      <w:proofErr w:type="spellStart"/>
      <w:r>
        <w:rPr>
          <w:rFonts w:ascii="Times New Roman" w:hAnsi="Times New Roman" w:cs="Times New Roman"/>
          <w:color w:val="000000"/>
        </w:rPr>
        <w:t>Rutagarama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Bantariza</w:t>
      </w:r>
      <w:proofErr w:type="spellEnd"/>
      <w:r>
        <w:rPr>
          <w:rFonts w:ascii="Times New Roman" w:hAnsi="Times New Roman" w:cs="Times New Roman"/>
          <w:color w:val="000000"/>
        </w:rPr>
        <w:t xml:space="preserve"> has instituted a notice of motion seeking for orders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following effect: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Setting aside the judgment of the Court dated 30 July 1999;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urther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in the alternative the Respondent be deprived of the benefits, including costs, the said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judgments gave to him as Appellant;</w:t>
      </w:r>
    </w:p>
    <w:p w:rsidR="00FF0AE1" w:rsidRDefault="00AB49BC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</w:t>
      </w:r>
      <w:r w:rsidR="00FF0AE1">
        <w:rPr>
          <w:rFonts w:ascii="Times New Roman" w:hAnsi="Times New Roman" w:cs="Times New Roman"/>
          <w:color w:val="000000"/>
          <w:sz w:val="20"/>
          <w:szCs w:val="20"/>
        </w:rPr>
        <w:t>he order extracted from the said judgments be set aside;</w:t>
      </w:r>
    </w:p>
    <w:p w:rsidR="00FF0AE1" w:rsidRDefault="00AB49BC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</w:t>
      </w:r>
      <w:r w:rsidR="00FF0AE1">
        <w:rPr>
          <w:rFonts w:ascii="Times New Roman" w:hAnsi="Times New Roman" w:cs="Times New Roman"/>
          <w:color w:val="000000"/>
          <w:sz w:val="20"/>
          <w:szCs w:val="20"/>
        </w:rPr>
        <w:t>he Applicant be awarded the costs of the appeals in the Supreme Court and the Court of Appeal; and</w:t>
      </w:r>
    </w:p>
    <w:p w:rsidR="00FF0AE1" w:rsidRDefault="00AB49BC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F</w:t>
      </w:r>
      <w:r w:rsidR="00FF0AE1">
        <w:rPr>
          <w:rFonts w:ascii="Times New Roman" w:hAnsi="Times New Roman" w:cs="Times New Roman"/>
          <w:color w:val="000000"/>
          <w:sz w:val="20"/>
          <w:szCs w:val="20"/>
        </w:rPr>
        <w:t>or such further or other order or orders as shall to the court be just”.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notice of motion, the Applicant has set out six grounds in support of the motion as follows: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When Court of Appeal civil appeal was heard and even decided, the Respondent had already sold of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suit property, but did not inform the Court that fact;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Respondent, without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locus standi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having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wilfully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disposed of the suit property filed a notice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appeal, filed an appeal and argued the appeal in the Supreme Court without disclosing that fact to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court;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The Respondent put itself in a position it could not lose by selling the suit property and proceeding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appeals notwithstanding it could not have delivered the suit property to the Applicant if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Applicant had won then and now unjustly stands to get costs of appeals;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(iv)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Respondent abused the process of the court;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ends of justice demand that the Respondent who put the suit property out of the jurisdiction of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courts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far as the appeals were pending in the Court of Appeal and later itself appealing to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Supreme Court, should not be rewarded by the court with costs and should, instead, reimburse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Applicant costs he has incurred by pursuing futile appeals;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(vi) 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just and equitable that the judgments be set aside and/or order be varied; and for an order that the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costs of and incidental to this application be paid by the Respondent to the Applicant”.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is made under section 8 of the Judicature Statute of 1996, section 101 of the Civil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Act and Rules 1(3) and 41 of the Rules of the Court. The Applicant swore an affidavit in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support of his application. To the affidavit are annexed annexures “A” to “I”.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Nyanzi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Yasin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advocate, made an affirmation, in reply to the Applicant’s affidavit. The affidavits and the affirmation of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Nyanzi</w:t>
      </w:r>
      <w:proofErr w:type="spellEnd"/>
      <w:r>
        <w:rPr>
          <w:rFonts w:ascii="Times New Roman" w:hAnsi="Times New Roman" w:cs="Times New Roman"/>
          <w:color w:val="000000"/>
        </w:rPr>
        <w:t xml:space="preserve"> are on the record. We see no need to reproduce their contents.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>, counsel for the Applicant, in his submissions relied upon the contents of the notice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motion and the affidavit of the Applicant and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the annexures thereto and contended that because of the provisions of Order 21, Rule 9(1) of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Civil Procedure Rules and section 8 of the Judicature Statute 1996, one </w:t>
      </w:r>
      <w:proofErr w:type="spellStart"/>
      <w:r>
        <w:rPr>
          <w:rFonts w:ascii="Times New Roman" w:hAnsi="Times New Roman" w:cs="Times New Roman"/>
          <w:color w:val="000000"/>
        </w:rPr>
        <w:t>Bagalaliwo</w:t>
      </w:r>
      <w:proofErr w:type="spellEnd"/>
      <w:r>
        <w:rPr>
          <w:rFonts w:ascii="Times New Roman" w:hAnsi="Times New Roman" w:cs="Times New Roman"/>
          <w:color w:val="000000"/>
        </w:rPr>
        <w:t xml:space="preserve"> who had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purchased the suit property and acquired the same should have been the Respondent in the Court of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instead of the present Respondent. He further contended that because the Respondent had sold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transferred his interest in the suit land to the said </w:t>
      </w:r>
      <w:proofErr w:type="spellStart"/>
      <w:r>
        <w:rPr>
          <w:rFonts w:ascii="Times New Roman" w:hAnsi="Times New Roman" w:cs="Times New Roman"/>
          <w:color w:val="000000"/>
        </w:rPr>
        <w:t>Bagalaliwo</w:t>
      </w:r>
      <w:proofErr w:type="spellEnd"/>
      <w:r>
        <w:rPr>
          <w:rFonts w:ascii="Times New Roman" w:hAnsi="Times New Roman" w:cs="Times New Roman"/>
          <w:color w:val="000000"/>
        </w:rPr>
        <w:t xml:space="preserve"> at the time the appeal was heard and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decided by the Court of Appeal and subsequently in this Court, the Respondent who has no </w:t>
      </w:r>
      <w:r>
        <w:rPr>
          <w:rFonts w:ascii="Times New Roman" w:hAnsi="Times New Roman" w:cs="Times New Roman"/>
          <w:i/>
          <w:iCs/>
          <w:color w:val="000000"/>
        </w:rPr>
        <w:t>locus standi</w:t>
      </w:r>
      <w:r>
        <w:rPr>
          <w:rFonts w:ascii="Times New Roman" w:hAnsi="Times New Roman" w:cs="Times New Roman"/>
          <w:color w:val="000000"/>
        </w:rPr>
        <w:t>,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was not entitled to judgment in this Court and the consequential order for costs and the costs.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He submitted that the Respondent deceived the Court of Appeal and this Court when he did not disclose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in the Court of Appeal and before us that he had disposed of the suit land. Learned counsel then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 us to exercise our inherent power to prevent abuse of process of Court by depriving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of the costs in this Court and in the Court of Appeal which we had awarded to the Appellant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successful party.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application is based on new evidence and that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our Rule 29(1) forbids us from accepting new evidence, the application should be rejected. Learned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argued that by 5 November 1995 when the trial court gave judgment, the lease of the Applicant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suit land had expired and therefore he had no </w:t>
      </w:r>
      <w:r>
        <w:rPr>
          <w:rFonts w:ascii="Times New Roman" w:hAnsi="Times New Roman" w:cs="Times New Roman"/>
          <w:i/>
          <w:iCs/>
          <w:color w:val="000000"/>
        </w:rPr>
        <w:t>locus standi</w:t>
      </w:r>
      <w:r>
        <w:rPr>
          <w:rFonts w:ascii="Times New Roman" w:hAnsi="Times New Roman" w:cs="Times New Roman"/>
          <w:color w:val="000000"/>
        </w:rPr>
        <w:t>. He further argued that since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 had preferred an appeal against the Respondent to the Court of Appeal, the Respondent was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bound to contest it and had to file the subsequent appeal to this Court to challenge the judgment of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Appeal. Counsel also contended that Order 21, Rule 9(1) of the Civil Procedure Rules was not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to this case. Counsel further stated that the Applicant’s contentions about costs should be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elsewhere but not in this Court.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understood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given up the prayer seeking to set aside our judgments. 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to want us to deprive the Respondent of costs and therefore he asks us to vary our judgments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insofar as the award of costs is concerned. We think that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acted properly in not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challenging the validity of our judgments.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issues raised in this application can then be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Was the Respondent entitled to oppose the appeal in the Court of Appeal?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Was Respondent justified in bringing his appeal to this Court after he lost in the Court of Appeal?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Has the Applicant established a case of abuse of the process of court by the Respondent which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justify our interference by depriving it of the costs which we awarded it in our judgments in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substantive appeal?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Issues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and (ii) in part raise the question whether Rule 9(1) of Order 21 of the Civil Procedure Rules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affected the Respondent as a respondent in the Court of Appeal and subsequently as an appellant in this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Court. Assuming that the Respondent had sold the land by the time the appeal in the court below was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heard and determined, had he a right to be heard there? Order 21 is concerned with the consequence of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death, consequence of insolvency and of marriage of a female party to a suit, during the pendency of a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suit. Rules 1, 2, 3, 4, 5, 6, 7 and 8 of the Order show in effect that in general, death and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insolvency of a party or marriage of a female party to a suit does not abate a cause of action or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 A legal representative in the case of death or an assignee or receiver in the case of an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insolvent may continue the suit as a party. The said Rules 1 to 8 preceding rule 9 concern results on a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suit/cause where the status of a party changes. Order 21, Rule 9(1) reads: “In other cases of an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assignment, creation or devolution of any interest during the pendency of a suit, the suit may, by leave of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court, be continued by or against the person to or upon whom such interest has come or devolved”.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Our understanding of this rule is that the provisions of this rule are permissive in that, </w:t>
      </w:r>
      <w:r>
        <w:rPr>
          <w:rFonts w:ascii="Times New Roman" w:hAnsi="Times New Roman" w:cs="Times New Roman"/>
          <w:i/>
          <w:iCs/>
          <w:color w:val="000000"/>
        </w:rPr>
        <w:t>prime facie</w:t>
      </w:r>
      <w:r>
        <w:rPr>
          <w:rFonts w:ascii="Times New Roman" w:hAnsi="Times New Roman" w:cs="Times New Roman"/>
          <w:color w:val="000000"/>
        </w:rPr>
        <w:t>,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may be continued in the name of the original party or assignee or a person upon whom interest has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devolved. The rule found its way into our statutory provisions via India where courts have interpreted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in a number of cases.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AIR Commentaries on the Indian Code of Civil Procedure </w:t>
      </w:r>
      <w:r>
        <w:rPr>
          <w:rFonts w:ascii="Times New Roman" w:hAnsi="Times New Roman" w:cs="Times New Roman"/>
          <w:color w:val="000000"/>
        </w:rPr>
        <w:t xml:space="preserve">by VR Manohar and WN </w:t>
      </w:r>
      <w:proofErr w:type="spellStart"/>
      <w:r>
        <w:rPr>
          <w:rFonts w:ascii="Times New Roman" w:hAnsi="Times New Roman" w:cs="Times New Roman"/>
          <w:color w:val="000000"/>
        </w:rPr>
        <w:t>Chitaley</w:t>
      </w:r>
      <w:proofErr w:type="spellEnd"/>
      <w:r>
        <w:rPr>
          <w:rFonts w:ascii="Times New Roman" w:hAnsi="Times New Roman" w:cs="Times New Roman"/>
          <w:color w:val="000000"/>
        </w:rPr>
        <w:t xml:space="preserve"> (10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), Volume 4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there are commentaries on the Indian Order 22, Rule 10 which corresponds exactly with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Order 21, Rule 9. The Indian Order 22, Rule 10(1) provisions are exactly in the same words as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words of our Order 21, Rule 9(1). It is therefore observed that the words “other cases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 xml:space="preserve">” in the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 cases other than those provided for in the preceding rules. These words include cases of transfer of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property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vivos</w:t>
      </w:r>
      <w:proofErr w:type="spellEnd"/>
      <w:r>
        <w:rPr>
          <w:rFonts w:ascii="Times New Roman" w:hAnsi="Times New Roman" w:cs="Times New Roman"/>
          <w:color w:val="000000"/>
        </w:rPr>
        <w:t>. The applicability of the rule appears to be based on the principle that the trial of a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cannot be arrested merely by reason of a devolution of the interest of a party in the subject matter of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suit, that the person acquiring the interest may continue with the leave of the court but that if he does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choose to do so the suit may be continued with the original party and the person acquiring the interest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 bound by or can have the benefit of the decree as the case may be.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Indian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Sheokumar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Central Coop Bank and another </w:t>
      </w:r>
      <w:r>
        <w:rPr>
          <w:rFonts w:ascii="Times New Roman" w:hAnsi="Times New Roman" w:cs="Times New Roman"/>
          <w:color w:val="000000"/>
        </w:rPr>
        <w:t>[1974] All ER 34 at 477 a suit by a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for a declaration of title and possession against the bank and C was decreed, the decree directing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that the costs of the suit to be borne by the bank alone. The bank had transferred its interest in the suit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to Central Co-op bank before the decree was passed. The bank appealed.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appellate court held that the bank had a right to the appeal independently of whether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still had a subsisting interest in the result of the litigation.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main point which was argued before the second appellate court was that the appeal before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court was incompetent on the ground that the bank had parted with its interest in the suit property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was no longer interested in the result of litigation. The transfer in question was a transaction of sale.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facts of the case, it was apparent that at the time when the trial court passed the decree and also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first appeal was filed, the bank had no subsisting interest in the suit property.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would like to point out that it is a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rule that a suit must be tried in all stages on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action as it existed at the date of commencement and that in appeal the question is whether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trial court is correct on the facts as they stood when the judgment of the trial court was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rendered, and that no subsequent event or devolution of interest can affect that question. Of course an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court may take notice of events which have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happened since the institution of the suit and afford relief of the altered conditions. This doctrine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 is of very exceptional character, and is to be applied in cases where it is shown that the original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 claimed has, by reason of subsequent change of circumstances, become inappropriate, or that it is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base the decision of the court on the altered circumstances in order to shorten litigation or to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 justice between the parties: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Sheokumar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Sheokumar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the court alluded to the application of the Indian Code of Civil Procedure,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22, Rule 10 and then observed that whereas Order 22, Rule 10 provides means by which a party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whom an interest has devolved during the pendency of a suit may, by leave of the court, continue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litigation, the legislature has not provided that in the event of the person upon whom the interest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devolves not obtaining leave of the court the suit would stand dismissed. With respect, we think that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reasoning applies to the arguments advanced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application.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decision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Sheokumar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has persuasive value and appears to cover the facts of the present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We have not been able to lay our hands on a Ugandan or East African Court decision directly on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before us. There is an instructive decision of the High Court of Uganda concerning consideration of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our Order 21, Rule 4 of the Civil Procedure Rules. This is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Gajender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Pal and another v Ram B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Sirdaw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[1961] EA 344.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1958 the Defendant RBS sued one, HR, who subsequently died. In April 1960, RBS moved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join the First Plaintiff as a party to the proceedings begun in 1958 as the son and legal personal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of the deceased. The application was adjourned as defective since the deceased had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appointed two executors, namely his son and widow, and by a letter written in June 1960 to the registrar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signed by the advocates for RBS and the executors, they requested that a consent order be made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substituting the names of the executors in the proceedings for that of the deceased HR. The registrar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simply recorded the filing of the letter of consent and made no order thereon. In September 1960,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was resumed and on the basis that the executors had been duly impleaded, judgment was entered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RBS and a decree was later extracted.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executors then sought to appeal and their advocate having discovered that no order had been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on the letter of consent tried to have the proceedings subsequent to HR’s death set aside by consent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RBS would not agree. The executors then sued for declarations that the proceedings, judgment and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were null and void, that the suit had abated and for the judgment and decree to be set aside. RBS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defended claiming that he had done all that was necessary and that the Plaintiff executors were not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question the proceedings to which they were active and consenting parties.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4 relied upon reads as follows: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“4 (1) Where one of two or more Defendants dies and the cause of action does not survive or continue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the surviving Defendant or Defendants alone, or a sole Defendant or sole surviving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dies and the cause of action survives or continues, the court, on an application made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that behalf, shall cause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legal representative of the deceased Defendant to be made a party and shall proceed with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suit.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…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( 3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W here within the time limited by law no application is made under sub-rule (1), the suit shall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abate as against the deceased Defendant”.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Sheridan J held that: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“(g) Since Order 21, Rule 4, places the duty upon the court to implead the legal representatives when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application is made, the parties should not be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any shortcomings in carrying out the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ministerial function of the court.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(ii) The claim of the Plaintiff was founded upon an immaterial irregularity and technicality, it</w:t>
      </w:r>
      <w:r w:rsidR="00AB49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not be just to grant the declaration sought. The suit was dismissed.”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decision in the above case illustrated the point that proceedings in a suit may continue in the name of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original party. Our understanding of the proceedings giving rise to this application is this: that it was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who instituted in the High Court the suit against the Respondent; that in the eyes of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 at the commencement of the suit the Respondent was a trespasser; that by the suit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 sought to have the Respondent evicted from the suit land; that on 5 November 1995 when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Mukanza</w:t>
      </w:r>
      <w:proofErr w:type="spellEnd"/>
      <w:r>
        <w:rPr>
          <w:rFonts w:ascii="Times New Roman" w:hAnsi="Times New Roman" w:cs="Times New Roman"/>
          <w:color w:val="000000"/>
        </w:rPr>
        <w:t xml:space="preserve"> J dismissed the suit and awarded costs against the Applicant as a losing Plaintiff,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had not disposed of the suit property. There is nothing to show that after judgment in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 either the trial court or the Court of Appeal made an order forbidding the Respondent to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dispose of the suit property. The record shows clearly that it was the Applicant who appealed to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Appeal. We think that at that stage the Respondent was entitled, if it chose, to resist the appeal.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has not been disclosed to us when exactly the Respondent disposed of the suit property. But whatever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date of the sale, our view is that even though it would have been proper for the Respondent to inform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and subsequently this Court, of the disposal of the suit property, Order 21, Rule 9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does not make it mandatory for the Respondent to do so or indeed to move any court so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AB49B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Bagalaliwo</w:t>
      </w:r>
      <w:proofErr w:type="spellEnd"/>
      <w:r>
        <w:rPr>
          <w:rFonts w:ascii="Times New Roman" w:hAnsi="Times New Roman" w:cs="Times New Roman"/>
          <w:color w:val="000000"/>
        </w:rPr>
        <w:t xml:space="preserve"> could be substituted for the Respondent either in the Court of Appeal or here or in both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courts. In these circumstances we are not persuaded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>, that the Respondent violated the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against abuse of court process by fighting the appeal in the Court of Appeal or by appealing</w:t>
      </w:r>
      <w:r w:rsidR="00AB49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to this Court against the decision of the Court of Appeal in its own name.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not improbable to think that even if </w:t>
      </w:r>
      <w:proofErr w:type="spellStart"/>
      <w:r>
        <w:rPr>
          <w:rFonts w:ascii="Times New Roman" w:hAnsi="Times New Roman" w:cs="Times New Roman"/>
          <w:color w:val="000000"/>
        </w:rPr>
        <w:t>Bagalaliwo</w:t>
      </w:r>
      <w:proofErr w:type="spellEnd"/>
      <w:r>
        <w:rPr>
          <w:rFonts w:ascii="Times New Roman" w:hAnsi="Times New Roman" w:cs="Times New Roman"/>
          <w:color w:val="000000"/>
        </w:rPr>
        <w:t xml:space="preserve"> were substituted he would have insisted that the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should bear all the consequences of the litigation.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award of costs per se cannot be a basis for us to revise our judgments.</w:t>
      </w:r>
    </w:p>
    <w:p w:rsidR="00FF0AE1" w:rsidRDefault="00FF0AE1" w:rsidP="00AB49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result this application must fail and it is dismissed with costs to the Respondent.</w:t>
      </w:r>
    </w:p>
    <w:p w:rsidR="00FF0AE1" w:rsidRDefault="00FF0AE1" w:rsidP="00F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FF0AE1" w:rsidRDefault="00FF0AE1" w:rsidP="00F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FF0AE1" w:rsidRDefault="00FF0AE1" w:rsidP="00F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640CC" w:rsidRDefault="00FF0AE1" w:rsidP="00FF0AE1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E1"/>
    <w:rsid w:val="002640CC"/>
    <w:rsid w:val="00AB49BC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9C312-3507-408E-AD01-B93A6FD9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2018-07-05T10:00:00Z</dcterms:created>
  <dcterms:modified xsi:type="dcterms:W3CDTF">2018-07-10T06:44:00Z</dcterms:modified>
</cp:coreProperties>
</file>