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International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Acif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30/1973 (5/74)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V-P, Law and Mustafa JJ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Bill of exchange – Alteration – Materiality – Meaningless alteration cannot be material – Bills of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Exchange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64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Bill of exchange – Alteration – Materiality – Addition of holder’s name as payee – Cannot be</w:t>
      </w:r>
    </w:p>
    <w:p w:rsidR="00FE6B51" w:rsidRDefault="00FE6B51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material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Bills of Exchange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27),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64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FE6B51" w:rsidRDefault="00C07127" w:rsidP="00C07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This appeal involves a single question of a very technical nature but one of considerable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for the commercial community.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company known as </w:t>
      </w:r>
      <w:proofErr w:type="spellStart"/>
      <w:r>
        <w:rPr>
          <w:rFonts w:ascii="Times New Roman" w:hAnsi="Times New Roman" w:cs="Times New Roman"/>
          <w:color w:val="000000"/>
        </w:rPr>
        <w:t>Acif</w:t>
      </w:r>
      <w:proofErr w:type="spellEnd"/>
      <w:r>
        <w:rPr>
          <w:rFonts w:ascii="Times New Roman" w:hAnsi="Times New Roman" w:cs="Times New Roman"/>
          <w:color w:val="000000"/>
        </w:rPr>
        <w:t xml:space="preserve"> Ltd. drew a promissory note in favour of another company known as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Mohamedali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Taibji</w:t>
      </w:r>
      <w:proofErr w:type="spellEnd"/>
      <w:r>
        <w:rPr>
          <w:rFonts w:ascii="Times New Roman" w:hAnsi="Times New Roman" w:cs="Times New Roman"/>
          <w:color w:val="000000"/>
        </w:rPr>
        <w:t xml:space="preserve"> Ltd. or order. This was endorsed in favour of one </w:t>
      </w:r>
      <w:proofErr w:type="spellStart"/>
      <w:r>
        <w:rPr>
          <w:rFonts w:ascii="Times New Roman" w:hAnsi="Times New Roman" w:cs="Times New Roman"/>
          <w:color w:val="000000"/>
        </w:rPr>
        <w:t>Abdultaib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Mohamedali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Taibji</w:t>
      </w:r>
      <w:proofErr w:type="spellEnd"/>
      <w:r>
        <w:rPr>
          <w:rFonts w:ascii="Times New Roman" w:hAnsi="Times New Roman" w:cs="Times New Roman"/>
          <w:color w:val="000000"/>
        </w:rPr>
        <w:t>, who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turn endorsed it in favour of Barclays Bank Int. Ltd.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the note came into the possession of the bank, four rubber stamps were impressed on the face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It is not suggested that three of these were of any significance and they can be ignored. The fourth read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“BARCLAYS BANK D.C.O.” and this was impressed in a blank space after the words “or Order” and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the name of the payee. The letters “D.C.O.” were crossed out in ink and “Int. Ltd.” substituted.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the note was presented for payment, the drawer refused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it. Various reasons were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but ultimately the drawer, the present respondent, relied on a submission that the note, having been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materially altered without the assent of the drawer, had become void under the provisions of s. 64 of the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Bills of Exchange Act (Cap. 27), which, so far as it is relevant, reads as follows: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“64.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bill or acceptance is materially altered without the assent of all parties liable on the</w:t>
      </w:r>
      <w:r w:rsidR="00C071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bill, the bill is avoided. . . .”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High Court, in a suit brought by the bank against the drawer, it was submitted that the alteration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note had one of three effects. It might have altered the place of payment, or it might have altered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description of the payee, or it might have added a new payee. The judge remarked that he did not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himself entitled to regard the alteration as meaningless. He rejected the first two suggested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interpretations but held that a new payee had been added to the note. He then considered whether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was material and held that “by adding the rubber stamp on the face of the note – probably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inadvertently – the plaintiff has caused it to operate differently as between the drawer and the payee”. 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held that the note had been avoided.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 us, Mr. Mansur </w:t>
      </w:r>
      <w:proofErr w:type="spellStart"/>
      <w:r>
        <w:rPr>
          <w:rFonts w:ascii="Times New Roman" w:hAnsi="Times New Roman" w:cs="Times New Roman"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 xml:space="preserve"> relied on two propositions. First, if the alteration was meaningless, it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material. Secondly, if, as the judge held, it had the effect of adding the bank as a payee,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then, since the note had already been endorsed over the bank, the alteration made no practical difference,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endorsee and the additional payee were the same. He submitted that the intention behind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was irrelevant and evidence could not be called on the question of materiality.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>, for the drawer, abandoned the suggestion that the alteration might have varied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description of the payee. He supported the judge’s finding that it added a new payee, while maintaining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that it might have added a new place of payment. He submitted that once it was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established, and it is now admitted, that the alteration was made by the bank, the onus was on the bank,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party seeking to enforce the note, to give some evidence as to the circumstances in which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was made. He submitted that those circumstances might be relevant to the question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materiality. The alteration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certainly apparent and if it was material, the note was avoided, regardless of any question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agree with Mr. </w:t>
      </w:r>
      <w:proofErr w:type="spellStart"/>
      <w:r>
        <w:rPr>
          <w:rFonts w:ascii="Times New Roman" w:hAnsi="Times New Roman" w:cs="Times New Roman"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question of materiality is a matter of law for the court to decide. If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finds that an alteration is not material, that is the end of the matter. If the court finds that an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is material, evidence may, in certain circumstances, be admissible to show how and why it was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made. But I do not think evidence is admissible as to materiality, except evidence of commercial custom,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has been no suggestion in the present case that the alteration was in accordance with any such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trust that counsel will not think me discourteous if I do not refer to all the authorities they cited. In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I think that cases decided before the enactment of the English Bills of Exchange Act 1882,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(from which our Act was derived) must be used with caution, because the Act relaxed to some extent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rigid rules of the common law.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only one East African authority of which I am aware that is of any relevance. That was a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the High Court of Tanzania in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Allidina</w:t>
      </w:r>
      <w:proofErr w:type="spellEnd"/>
      <w:r>
        <w:rPr>
          <w:rFonts w:ascii="Times New Roman" w:hAnsi="Times New Roman" w:cs="Times New Roman"/>
          <w:color w:val="000000"/>
        </w:rPr>
        <w:t>, [1969] E.A. 89, in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Georges, C.J., held that the addition of a place of payment to a promissory note, as distinct from a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of exchange, was not a material alteration. In that case, a blank space intended for the place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payment was completed by the addition of the words “The National Bank of Commerce, </w:t>
      </w:r>
      <w:proofErr w:type="spellStart"/>
      <w:r>
        <w:rPr>
          <w:rFonts w:ascii="Times New Roman" w:hAnsi="Times New Roman" w:cs="Times New Roman"/>
          <w:color w:val="000000"/>
        </w:rPr>
        <w:t>Kilosa</w:t>
      </w:r>
      <w:proofErr w:type="spellEnd"/>
      <w:r>
        <w:rPr>
          <w:rFonts w:ascii="Times New Roman" w:hAnsi="Times New Roman" w:cs="Times New Roman"/>
          <w:color w:val="000000"/>
        </w:rPr>
        <w:t>”; it is not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from the report whether or not the word “at” appeared on the form. It was the absence of the word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“at” on the note with which we are concerned that caused the judge to decide that this was not an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of the place of payment. He also said that the noting showed that the place of payment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remained the drawer’s business address. With respect, I think this is a slight misdirection, because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noting shows presentation at that address, it also shows presentation at the Queensway,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Nairobi, branch of Barclays Bank International Ltd., described in the noting as “where the said Bill was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payable”. This is difficult to understand, when the alteration to the note does not mention any particular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 in it.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may be that the blank space on the note was intended for the place of payment but in the absence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“at” or any mention of a specific branch and with no evidence of commercial custom, I am not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 to say that the judge was wrong when he rejected the submission that the alteration was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addition of a place of payment. I express no opinion whether or not the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</w:t>
      </w:r>
      <w:r>
        <w:rPr>
          <w:rFonts w:ascii="Times New Roman" w:hAnsi="Times New Roman" w:cs="Times New Roman"/>
          <w:color w:val="000000"/>
        </w:rPr>
        <w:t>case was rightly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decided that the effect of the alteration was to add an additional payee. He said: “By its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juxtaposition after and below the words ‘or Order’ its effect was to make the plaintiff an additional payee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that was the intention or not.” With respect, I am not persuaded by that argument. It seems to me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lack of any conjunction and the insertion of the words after and not before the words “or Order”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makes this interpretation just as unlikely as that which would make the words provide a place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appears to have arrived at this conclusion largely because he thought he was debarred from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the words meaningless. He said at p. 480, “The plaintiff must have intended to give the alteration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meaning and I must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do so.” With respect, I do not agree. The question is what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mean, not what the bank intended them to mean.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me, the words as they stand, without any interpolation, are meaningless. It is possible to give them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meanings by different interpolations and therefore I do not think any interpolation is justified –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might be different if there were only one possible interpolation. If the words are meaningless,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cannot be material. I would accordingly hold that the alteration is not material.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do not think it necessary to deal with the alternative submission and I will merely say that as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was the endorsee of the note, I do not see how the alteration can cause the note to operate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differently.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allow the appeal, set aside the judgment and decree of the High Court and substitute an order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giving judgment in favour of the bank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67,080/75, with interest at 9 per cent up to 10 April 1973,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interest thereafter at 6 per cent until payment.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think the bank must clearly have the costs of the appeal. I have considered whether it should to some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be penalized in costs in the High Court, since the only issue contested in the suit was the direct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result of an improper or, on the most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view, a highly negligent act by one of the bank’s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officers. Conduct by a defendant which leads to an action being brought and but for which it would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probably never have been brought has been held a reason for depriving a successful defendant of costs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(per Vaughan Williams, L.J. in </w:t>
      </w:r>
      <w:r>
        <w:rPr>
          <w:rFonts w:ascii="Times New Roman" w:hAnsi="Times New Roman" w:cs="Times New Roman"/>
          <w:i/>
          <w:iCs/>
          <w:color w:val="000000"/>
        </w:rPr>
        <w:t>Bostock v. Ramsey Urban Council</w:t>
      </w:r>
      <w:r>
        <w:rPr>
          <w:rFonts w:ascii="Times New Roman" w:hAnsi="Times New Roman" w:cs="Times New Roman"/>
          <w:color w:val="000000"/>
        </w:rPr>
        <w:t>, [1900] 2 Q.B. 616 at p. 625) and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are more reluctant to deprive a defendant of costs than a plaintiff. The written statement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contained, however, a number of other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, as did an amended statement, all of which were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abandoned. For this reason, I do not think the bank should be penalized in these proceedings.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Accordingly, I would award the bank its costs here and below.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other members of the Court agree, it is so ordered.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JA: </w:t>
      </w:r>
      <w:r>
        <w:rPr>
          <w:rFonts w:ascii="Times New Roman" w:hAnsi="Times New Roman" w:cs="Times New Roman"/>
          <w:color w:val="000000"/>
        </w:rPr>
        <w:t xml:space="preserve">I agree with the judgment prepared by Spry, V.-P.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with the order proposed therein.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promissory note, the subject of this appeal, would only have been void as against the drawer if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was material. As to this, the trial judge held: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sufficient to say that by adding the rubber stamp on the face of the note – probably inadvertently – the</w:t>
      </w:r>
      <w:r w:rsidR="00C071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has caused it to operate differently as between the drawer and the payee by adding another payee,</w:t>
      </w:r>
      <w:r w:rsidR="00C071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this is to the drawer’s prejudice or not.”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other words, the judge held that the addition of a rubber stamp bearing the bank’s name below that of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payee was an alteration which was material because it caused the note to operate differently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between the drawer and the payee. With respect, I am unable to agree. The stamp can only have been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affixed after the note came into the bank’s possession, by which time the bank had become the payee by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endorsement. The note as drawn was expressed to be payable to the named payee “or order”. It could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be transferred by endorsement, and the drawer would be liable to the last endorse, which in this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was the bank. Even if the alteration had the effect of adding a payee to the face of the note, it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 stated the position at the date of maturity and did not cause the note to “operate differently”. I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not see therefore how the alteration can be said to have been material, and I would allow this appeal.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facts giving rise to this appeal have been set out in the judgment of Spry, V.-P.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bank as endorsee, after the promissory note had come into its possession, had impressed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face of the note a rubber stamp reading “Barclays Bank D.C.O.” in a blank space after the words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“or Order”. The letters “D.C.O.” were altered in ink to read “Int. Ltd.”. This stamping was made without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or knowledge of the drawer.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submitted that the note had become void because it had been materially altered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the assent of the drawer under the provisions of s. 64 of the Bills of Exchange Act (Cap. 27)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reads:</w:t>
      </w:r>
    </w:p>
    <w:p w:rsidR="00FE6B51" w:rsidRDefault="00C07127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E6B51">
        <w:rPr>
          <w:rFonts w:ascii="Times New Roman" w:hAnsi="Times New Roman" w:cs="Times New Roman"/>
          <w:color w:val="000000"/>
          <w:sz w:val="20"/>
          <w:szCs w:val="20"/>
        </w:rPr>
        <w:t>“64. (1) where a bill or acceptance is materially altered without the assent of all parties liable on the bill,</w:t>
      </w:r>
    </w:p>
    <w:p w:rsidR="00FE6B51" w:rsidRDefault="00C07127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FE6B51">
        <w:rPr>
          <w:rFonts w:ascii="Times New Roman" w:hAnsi="Times New Roman" w:cs="Times New Roman"/>
          <w:color w:val="000000"/>
          <w:sz w:val="20"/>
          <w:szCs w:val="20"/>
        </w:rPr>
        <w:t xml:space="preserve"> bill is avoided. . . .”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trial the respondent had submitted that the alteration was material because the effect was either to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 w:rsidR="00C07127">
        <w:rPr>
          <w:rFonts w:ascii="Times New Roman" w:hAnsi="Times New Roman" w:cs="Times New Roman"/>
          <w:color w:val="000000"/>
        </w:rPr>
        <w:t>Alter</w:t>
      </w:r>
      <w:r>
        <w:rPr>
          <w:rFonts w:ascii="Times New Roman" w:hAnsi="Times New Roman" w:cs="Times New Roman"/>
          <w:color w:val="000000"/>
        </w:rPr>
        <w:t xml:space="preserve"> the place of payment, (2) alter the payee’s description, or (3) add a new payee. The trial judge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and rejected the first two submissions, in my opinion rightly, but found that a new payee had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added and thereby the appellant “had caused it to operate differently as between the drawer and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payee”. The trial judge however did not say how and in what manner, in this case, the note would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“operate differently as between the drawer and the payee”. Here the drawer would have to pay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endorsee, which was the bank, whose name also appeared after the words “or order”; both the endorsee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name impressed by the rubber stamp are the same party. The alteration did not affect, in any way,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business effect of the note, and was not material; it would have been otherwise if the endorsee and the</w:t>
      </w:r>
      <w:r w:rsidR="00C071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impressed name were different parties.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agree that the appeal must succeed, and I concur in the order proposed by Spry, V.-P.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Satchu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Atkinson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Cleasby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Satchu</w:t>
      </w:r>
      <w:proofErr w:type="spellEnd"/>
      <w:r>
        <w:rPr>
          <w:rFonts w:ascii="Times New Roman" w:hAnsi="Times New Roman" w:cs="Times New Roman"/>
          <w:color w:val="000000"/>
        </w:rPr>
        <w:t>, Mombasa)</w:t>
      </w:r>
    </w:p>
    <w:p w:rsidR="00FE6B51" w:rsidRDefault="00FE6B51" w:rsidP="00FE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FE6B51" w:rsidP="00FE6B51">
      <w:r>
        <w:rPr>
          <w:rFonts w:ascii="Times New Roman" w:hAnsi="Times New Roman" w:cs="Times New Roman"/>
          <w:i/>
          <w:iCs/>
          <w:color w:val="000000"/>
        </w:rPr>
        <w:t xml:space="preserve">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NP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>
        <w:rPr>
          <w:rFonts w:ascii="Times New Roman" w:hAnsi="Times New Roman" w:cs="Times New Roman"/>
          <w:color w:val="000000"/>
        </w:rPr>
        <w:t>, Nairobi)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51"/>
    <w:rsid w:val="00664035"/>
    <w:rsid w:val="00C07127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5922-110E-4C66-9623-560092E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2018-07-05T12:51:00Z</dcterms:created>
  <dcterms:modified xsi:type="dcterms:W3CDTF">2018-07-10T06:52:00Z</dcterms:modified>
</cp:coreProperties>
</file>