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Barclays Bank of Kenya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Njau</w:t>
      </w:r>
      <w:proofErr w:type="spellEnd"/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March 2006</w:t>
      </w:r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314/01</w:t>
      </w:r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Employment law – Failure to include notice period before termination of the contract – Discretion</w:t>
      </w:r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to infer reasonable notice – Amount of damages payable for unlawful dismissal – Factors in</w:t>
      </w:r>
    </w:p>
    <w:p w:rsidR="000173E8" w:rsidRDefault="00513D1D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Calculating</w:t>
      </w:r>
      <w:r w:rsidR="000173E8">
        <w:rPr>
          <w:rFonts w:ascii="Times New Roman" w:hAnsi="Times New Roman" w:cs="Times New Roman"/>
          <w:i/>
          <w:iCs/>
          <w:color w:val="000000"/>
        </w:rPr>
        <w:t xml:space="preserve"> the amount of damages payable.</w:t>
      </w:r>
    </w:p>
    <w:p w:rsidR="000173E8" w:rsidRDefault="000173E8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Jurisdiction – Principle of </w:t>
      </w:r>
      <w:r>
        <w:rPr>
          <w:rFonts w:ascii="Times New Roman" w:hAnsi="Times New Roman" w:cs="Times New Roman"/>
          <w:color w:val="000000"/>
        </w:rPr>
        <w:t xml:space="preserve">stare decisis </w:t>
      </w:r>
      <w:r>
        <w:rPr>
          <w:rFonts w:ascii="Times New Roman" w:hAnsi="Times New Roman" w:cs="Times New Roman"/>
          <w:i/>
          <w:iCs/>
          <w:color w:val="000000"/>
        </w:rPr>
        <w:t>– Whether an inferior court has the jurisdiction to overturn</w:t>
      </w:r>
    </w:p>
    <w:p w:rsidR="000173E8" w:rsidRDefault="00513D1D" w:rsidP="00CD7D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The</w:t>
      </w:r>
      <w:r w:rsidR="000173E8">
        <w:rPr>
          <w:rFonts w:ascii="Times New Roman" w:hAnsi="Times New Roman" w:cs="Times New Roman"/>
          <w:i/>
          <w:iCs/>
          <w:color w:val="000000"/>
        </w:rPr>
        <w:t xml:space="preserve"> decision of a Superior Court.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was employed by the appellant as a clerk in 1969 and he rose through the ranks to the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position of a Supervisor with a monthly salary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25 015. The employment contract between the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did not however expressly provide for a notice period. The appellant later on summarily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 respondent on 12 March 1993, whereupon the respondent sued for wrongful dismissal.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held that the appellant had been malicious in dismissing the respondent and therefore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dismissal was wrongful. Hence this appeal.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trial judge correctly held that the respondent was wrongfully dismissed.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 contract of employment embodies a notice period, then damages to a person dismissed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unlawfully is to be worked out on the basis of the notice period. Where no such period is provided for in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of employment, as is the position in this appeal, then a reasonable period of notice is to be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implied.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Kyobe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East African Airways </w:t>
      </w:r>
      <w:r>
        <w:rPr>
          <w:rFonts w:ascii="Times New Roman" w:hAnsi="Times New Roman" w:cs="Times New Roman"/>
          <w:color w:val="000000"/>
        </w:rPr>
        <w:t xml:space="preserve">[1972] EA 403; </w:t>
      </w:r>
      <w:r>
        <w:rPr>
          <w:rFonts w:ascii="Times New Roman" w:hAnsi="Times New Roman" w:cs="Times New Roman"/>
          <w:i/>
          <w:iCs/>
          <w:color w:val="000000"/>
        </w:rPr>
        <w:t xml:space="preserve">Alfred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Mumias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Sugar Company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</w:t>
      </w:r>
      <w:r>
        <w:rPr>
          <w:rFonts w:ascii="Times New Roman" w:hAnsi="Times New Roman" w:cs="Times New Roman"/>
          <w:color w:val="000000"/>
        </w:rPr>
        <w:t xml:space="preserve">civil appeal number 194 of 2001 [UR]; </w:t>
      </w:r>
      <w:r>
        <w:rPr>
          <w:rFonts w:ascii="Times New Roman" w:hAnsi="Times New Roman" w:cs="Times New Roman"/>
          <w:i/>
          <w:iCs/>
          <w:color w:val="000000"/>
        </w:rPr>
        <w:t xml:space="preserve">Rift Valley Textiles Limited v Edward Onyango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Oganda</w:t>
      </w:r>
      <w:proofErr w:type="spellEnd"/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27 of 1992; </w:t>
      </w:r>
      <w:r>
        <w:rPr>
          <w:rFonts w:ascii="Times New Roman" w:hAnsi="Times New Roman" w:cs="Times New Roman"/>
          <w:i/>
          <w:iCs/>
          <w:color w:val="000000"/>
        </w:rPr>
        <w:t xml:space="preserve">Central Bank of Kenya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Nkabu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[2002] KLR 149 followed).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a judge of an inferior court is perfectly entitled to entertain doubts, even grave doubts, on the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correctness of the decision of a court superior to his and whose decisions are binding on him, such a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has no jurisdiction to overrule the decision of the court superior to his. (</w:t>
      </w:r>
      <w:r>
        <w:rPr>
          <w:rFonts w:ascii="Times New Roman" w:hAnsi="Times New Roman" w:cs="Times New Roman"/>
          <w:i/>
          <w:iCs/>
          <w:color w:val="000000"/>
        </w:rPr>
        <w:t xml:space="preserve">Abu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Mohammed v</w:t>
      </w:r>
      <w:r w:rsidR="00CD7D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Mohammed Bwana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Bakari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appeal number 238 of 2003 [UR] followed).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principles of law generally remain the same in each case and it is the application of those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to the facts of the case in hand that might vary from case to case.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has discretion to determine what the reasonable period of notice ought to be in a particular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where such period is not provided for in the contract of employment between an employer and</w:t>
      </w:r>
      <w:r w:rsidR="00CD7D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Abu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Mohamed v Mohamed Bwana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Bakari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civil appeal number 238 of 2003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Alfred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Mumias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Sugar Company Limited </w:t>
      </w:r>
      <w:r>
        <w:rPr>
          <w:rFonts w:ascii="Times New Roman" w:hAnsi="Times New Roman" w:cs="Times New Roman"/>
          <w:color w:val="000000"/>
        </w:rPr>
        <w:t xml:space="preserve">civil appeal number 194 of 2001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Central Bank of Kenya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Nkabu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[2002] KLR 149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East African Airways v Knight </w:t>
      </w:r>
      <w:r>
        <w:rPr>
          <w:rFonts w:ascii="Times New Roman" w:hAnsi="Times New Roman" w:cs="Times New Roman"/>
          <w:color w:val="000000"/>
        </w:rPr>
        <w:t>[1975] EA 165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Kyobe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East African Airways </w:t>
      </w:r>
      <w:r>
        <w:rPr>
          <w:rFonts w:ascii="Times New Roman" w:hAnsi="Times New Roman" w:cs="Times New Roman"/>
          <w:color w:val="000000"/>
        </w:rPr>
        <w:t xml:space="preserve">[1972] EA 403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173E8" w:rsidRDefault="000173E8" w:rsidP="00017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Cereals and Produce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Ongaro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[1999] LLR 883 (CAK)</w:t>
      </w:r>
    </w:p>
    <w:p w:rsidR="00AB7022" w:rsidRDefault="000173E8" w:rsidP="000173E8">
      <w:r>
        <w:rPr>
          <w:rFonts w:ascii="Times New Roman" w:hAnsi="Times New Roman" w:cs="Times New Roman"/>
          <w:i/>
          <w:iCs/>
          <w:color w:val="000000"/>
        </w:rPr>
        <w:t xml:space="preserve">Rift Valley Textiles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[1992] LLR 308 (CAK) –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E8"/>
    <w:rsid w:val="000173E8"/>
    <w:rsid w:val="00513D1D"/>
    <w:rsid w:val="00AB7022"/>
    <w:rsid w:val="00C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431C6-36A9-4EDE-8B12-EC0A6F1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2018-07-05T05:52:00Z</dcterms:created>
  <dcterms:modified xsi:type="dcterms:W3CDTF">2018-07-10T06:54:00Z</dcterms:modified>
</cp:coreProperties>
</file>