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FB" w:rsidRDefault="007472FB" w:rsidP="00A367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Barclays Bank of Kenya Limited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Njau</w:t>
      </w:r>
      <w:proofErr w:type="spellEnd"/>
    </w:p>
    <w:p w:rsidR="007472FB" w:rsidRDefault="007472FB" w:rsidP="00A367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Kisumu</w:t>
      </w:r>
    </w:p>
    <w:p w:rsidR="007472FB" w:rsidRDefault="007472FB" w:rsidP="00A367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March 2006</w:t>
      </w:r>
    </w:p>
    <w:p w:rsidR="007472FB" w:rsidRDefault="007472FB" w:rsidP="00A367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314/01</w:t>
      </w:r>
    </w:p>
    <w:p w:rsidR="007472FB" w:rsidRDefault="007472FB" w:rsidP="00A367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7472FB" w:rsidRDefault="007472FB" w:rsidP="00A367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472FB" w:rsidRDefault="007472FB" w:rsidP="00A367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7472FB" w:rsidRDefault="007472FB" w:rsidP="00A367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Employment law – Failure to include notice period before termination of the contract – Discretion</w:t>
      </w:r>
    </w:p>
    <w:p w:rsidR="007472FB" w:rsidRDefault="007472FB" w:rsidP="00A367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court to infer reasonable notice – Amount of damages payable for unlawful dismissal – Factors in</w:t>
      </w:r>
    </w:p>
    <w:p w:rsidR="007472FB" w:rsidRDefault="007472FB" w:rsidP="00A367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calculating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amount of damages payable.</w:t>
      </w:r>
    </w:p>
    <w:p w:rsidR="007472FB" w:rsidRDefault="007472FB" w:rsidP="00A367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Jurisdiction – Principle of </w:t>
      </w:r>
      <w:r>
        <w:rPr>
          <w:rFonts w:ascii="Times New Roman" w:hAnsi="Times New Roman" w:cs="Times New Roman"/>
          <w:color w:val="000000"/>
        </w:rPr>
        <w:t xml:space="preserve">stare decisis </w:t>
      </w:r>
      <w:r>
        <w:rPr>
          <w:rFonts w:ascii="Times New Roman" w:hAnsi="Times New Roman" w:cs="Times New Roman"/>
          <w:i/>
          <w:iCs/>
          <w:color w:val="000000"/>
        </w:rPr>
        <w:t>– Whether an inferior court has the jurisdiction to overturn</w:t>
      </w:r>
    </w:p>
    <w:p w:rsidR="007472FB" w:rsidRDefault="007472FB" w:rsidP="00A367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the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decision of a Superior Court.</w:t>
      </w:r>
    </w:p>
    <w:p w:rsidR="007472FB" w:rsidRDefault="007472FB" w:rsidP="007472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Githinji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>The question raised before us in this appeal is what an employee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who is wrongfully dismissed by an employer is entitled to upon such dismissal. Joseph </w:t>
      </w:r>
      <w:proofErr w:type="spellStart"/>
      <w:r>
        <w:rPr>
          <w:rFonts w:ascii="Times New Roman" w:hAnsi="Times New Roman" w:cs="Times New Roman"/>
          <w:color w:val="000000"/>
        </w:rPr>
        <w:t>Mwaura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Njau</w:t>
      </w:r>
      <w:proofErr w:type="spellEnd"/>
      <w:r>
        <w:rPr>
          <w:rFonts w:ascii="Times New Roman" w:hAnsi="Times New Roman" w:cs="Times New Roman"/>
          <w:color w:val="000000"/>
        </w:rPr>
        <w:t>, the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hereinafter, was first employed by Barclays Bank of Kenya Limited, the appellant hereinafter,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1969; the respondent, was employed as a clerk at a salary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720 or so per month. In the course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time, he rose through the ranks and by the time of his dismissal by the appellant in 1993, the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designation was that of a Supervisor Category A and his monthly salary, inclusive of house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allowance, was about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25 015 per month. When the respondent was first appointed a clerk by the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on 16 April 1969 Clause 13 in the letter of appointment provided that: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“13 If, after you have served your probationary period, your appointment is confirmed it will be that of a</w:t>
      </w:r>
      <w:r w:rsidR="00A367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monthly servant, provided that should you at any time either during your probationary period or</w:t>
      </w:r>
      <w:r w:rsidR="00A367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afterwards commit any breach of the conditions herein contained or be guilty of unsatisfactory conduct</w:t>
      </w:r>
      <w:r w:rsidR="00A367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inside or outside the Bank, the Bank reserves the right to dismiss you summarily.”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 that according to this clause the respondent was to serve as a monthly servant after confirmation in his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appointment. There was, however, no mention of how the respondent’s services were to be terminated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outside the provision in Clause 13. There was, accordingly, no express provision for a notice period. By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letter of 6 March 1993, the appellant suspended the respondent and this was followed by the letter of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12 March 1993, which summarily dismissed the respondent. The respondent by his plaint dated 12 July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1994 sued the appellant for wrongful dismissal and the prayers the respondent made in the plaint were: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) One-month salary </w:t>
      </w:r>
      <w:r>
        <w:rPr>
          <w:rFonts w:ascii="Times New Roman" w:hAnsi="Times New Roman" w:cs="Times New Roman"/>
          <w:i/>
          <w:iCs/>
          <w:color w:val="000000"/>
        </w:rPr>
        <w:t xml:space="preserve">in lieu </w:t>
      </w:r>
      <w:r>
        <w:rPr>
          <w:rFonts w:ascii="Times New Roman" w:hAnsi="Times New Roman" w:cs="Times New Roman"/>
          <w:color w:val="000000"/>
        </w:rPr>
        <w:t xml:space="preserve">of notice K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25 015,00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12 days worked up to 12 March 1993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9 999</w:t>
      </w:r>
      <w:proofErr w:type="gramStart"/>
      <w:r>
        <w:rPr>
          <w:rFonts w:ascii="Times New Roman" w:hAnsi="Times New Roman" w:cs="Times New Roman"/>
          <w:color w:val="000000"/>
        </w:rPr>
        <w:t>,00</w:t>
      </w:r>
      <w:proofErr w:type="gramEnd"/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) Unpaid local leave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23 333</w:t>
      </w:r>
      <w:proofErr w:type="gramStart"/>
      <w:r>
        <w:rPr>
          <w:rFonts w:ascii="Times New Roman" w:hAnsi="Times New Roman" w:cs="Times New Roman"/>
          <w:color w:val="000000"/>
        </w:rPr>
        <w:t>,00</w:t>
      </w:r>
      <w:proofErr w:type="gramEnd"/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 xml:space="preserve">) Leave allowance K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12 000</w:t>
      </w:r>
      <w:proofErr w:type="gramStart"/>
      <w:r>
        <w:rPr>
          <w:rFonts w:ascii="Times New Roman" w:hAnsi="Times New Roman" w:cs="Times New Roman"/>
          <w:color w:val="000000"/>
        </w:rPr>
        <w:t>,00</w:t>
      </w:r>
      <w:proofErr w:type="gramEnd"/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Terminal benefits for 24 years and/or early retirement benefits as per staff Circular number 18 of 3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March 1992.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) Pension Scheme funds as per staff Circular number 18 of 3 March 1992.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) General damages for wrongful termination plus costs and interest at court rates plus any other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relief.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denying that the dismissal was wrongful and further pleaded a set-off and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counterclaim. </w:t>
      </w:r>
      <w:proofErr w:type="spellStart"/>
      <w:r>
        <w:rPr>
          <w:rFonts w:ascii="Times New Roman" w:hAnsi="Times New Roman" w:cs="Times New Roman"/>
          <w:color w:val="000000"/>
        </w:rPr>
        <w:t>Aganyanya</w:t>
      </w:r>
      <w:proofErr w:type="spellEnd"/>
      <w:r>
        <w:rPr>
          <w:rFonts w:ascii="Times New Roman" w:hAnsi="Times New Roman" w:cs="Times New Roman"/>
          <w:color w:val="000000"/>
        </w:rPr>
        <w:t xml:space="preserve"> J heard the dispute between the parties, concluded that the appellant was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malicious in dismissing the respondent, and, therefore, that the dismissal was wrongful. Leaving aside the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of malice, there was more than ample evidence from which the learned Judge was entitled to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conclude that the appellant had acted unlawfully in dismissing the respondent. The respondent testified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circumstances leading to his dismissal; the appellant, for its part, called no evidence in support of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claim that its dismissal of the respondent was justified. We are satisfied the learned trial Judge was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 in concluding that the respondent was wrongfully dismissed. That is why we say the question which we are called upon to determine is what should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 upon the finding of wrongful dismissal.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question has been answered in a long line of cases and we think we should deal with some of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them. Where the contract of employment embodies a notice period, then damages to a person dismissed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unlawfully is to be worked out on the basis of the notice period. Where no such period is provided for in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the contract of employment, as is the position in this appeal, then a reasonable period of notice is to be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implied.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Kyobe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East African Airways </w:t>
      </w:r>
      <w:r>
        <w:rPr>
          <w:rFonts w:ascii="Times New Roman" w:hAnsi="Times New Roman" w:cs="Times New Roman"/>
          <w:color w:val="000000"/>
        </w:rPr>
        <w:t xml:space="preserve">[1972] EA 403, </w:t>
      </w:r>
      <w:proofErr w:type="spellStart"/>
      <w:r>
        <w:rPr>
          <w:rFonts w:ascii="Times New Roman" w:hAnsi="Times New Roman" w:cs="Times New Roman"/>
          <w:color w:val="000000"/>
        </w:rPr>
        <w:t>Kyobe</w:t>
      </w:r>
      <w:proofErr w:type="spellEnd"/>
      <w:r>
        <w:rPr>
          <w:rFonts w:ascii="Times New Roman" w:hAnsi="Times New Roman" w:cs="Times New Roman"/>
          <w:color w:val="000000"/>
        </w:rPr>
        <w:t xml:space="preserve"> who was employed by the East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African Airways as a general manager, was wrongfully dismissed by the airline. His contract of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employment did not contain any period of notice. The trial judge, taking into account the position of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Kyobe</w:t>
      </w:r>
      <w:proofErr w:type="spellEnd"/>
      <w:r>
        <w:rPr>
          <w:rFonts w:ascii="Times New Roman" w:hAnsi="Times New Roman" w:cs="Times New Roman"/>
          <w:color w:val="000000"/>
        </w:rPr>
        <w:t xml:space="preserve"> as general manager and such like factors, concluded that a notice period of six months would be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sufficient. The Court of Appeal for East Africa refused to interfere with the judge’s finding that six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months was a reasonable notice period.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East African Airways v Knight </w:t>
      </w:r>
      <w:r>
        <w:rPr>
          <w:rFonts w:ascii="Times New Roman" w:hAnsi="Times New Roman" w:cs="Times New Roman"/>
          <w:color w:val="000000"/>
        </w:rPr>
        <w:t>[1975] EA 165, it was held where relevant: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“(ii) There was no provision in the contract for six months’ notice of termination.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(iii) The termination provisions in the contract were not exhaustive and the appellant [East African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Airways] could give the respondent [Knight] reasonable notice of termination which in the</w:t>
      </w:r>
      <w:r w:rsidR="00A367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circumstances would be 18 months.”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Knight was a pilot and his claim was based on loss of career which is different from loss of a particular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employment. These decisions and the principles contained in them have been followed and applied in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cases such as </w:t>
      </w:r>
      <w:r>
        <w:rPr>
          <w:rFonts w:ascii="Times New Roman" w:hAnsi="Times New Roman" w:cs="Times New Roman"/>
          <w:i/>
          <w:iCs/>
          <w:color w:val="000000"/>
        </w:rPr>
        <w:t xml:space="preserve">Alfred 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Githinji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Mumias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Sugar Company Limited </w:t>
      </w:r>
      <w:r>
        <w:rPr>
          <w:rFonts w:ascii="Times New Roman" w:hAnsi="Times New Roman" w:cs="Times New Roman"/>
          <w:color w:val="000000"/>
        </w:rPr>
        <w:t>civil appeal number 194 of 2001 (UR),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Rift Valley Textiles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Oganda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[1992] LLR 308 (CAK) and </w:t>
      </w:r>
      <w:r>
        <w:rPr>
          <w:rFonts w:ascii="Times New Roman" w:hAnsi="Times New Roman" w:cs="Times New Roman"/>
          <w:i/>
          <w:iCs/>
          <w:color w:val="000000"/>
        </w:rPr>
        <w:t>Central Bank of Kenya Limited v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Nkabu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[2002] KLR 149. There have been other numerous decisions of the Court applying these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principles. Even the Court’s decision in </w:t>
      </w:r>
      <w:r>
        <w:rPr>
          <w:rFonts w:ascii="Times New Roman" w:hAnsi="Times New Roman" w:cs="Times New Roman"/>
          <w:i/>
          <w:iCs/>
          <w:color w:val="000000"/>
        </w:rPr>
        <w:t xml:space="preserve">National Cereals and Produce Board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Ongaro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[1999] LLR 883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(CAK) upon which the respondent relied did not purport to dissent from the other decisions of the Court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Court states at seven (7) paragraph two (2) of its judgment: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“As the respondent’s appointment was terminable by three months’ notice he was entitled only to such</w:t>
      </w:r>
      <w:r w:rsidR="00A367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damages as the employer would have been obliged to pay if it had dismissed the respondent in accordance</w:t>
      </w:r>
      <w:r w:rsidR="00A367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</w:t>
      </w:r>
      <w:r w:rsidR="00A36707"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h the provisions of the contract.”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restate that these are the principles applicable in cases of wrongful or unlawful dismissal of an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employee by an employer.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Aganyanya</w:t>
      </w:r>
      <w:proofErr w:type="spellEnd"/>
      <w:r>
        <w:rPr>
          <w:rFonts w:ascii="Times New Roman" w:hAnsi="Times New Roman" w:cs="Times New Roman"/>
          <w:color w:val="000000"/>
        </w:rPr>
        <w:t xml:space="preserve"> appears not to be in agreement with these principles.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learned Judge is no doubt entitled to his view on such </w:t>
      </w:r>
      <w:proofErr w:type="spellStart"/>
      <w:r>
        <w:rPr>
          <w:rFonts w:ascii="Times New Roman" w:hAnsi="Times New Roman" w:cs="Times New Roman"/>
          <w:color w:val="000000"/>
        </w:rPr>
        <w:t>mattes</w:t>
      </w:r>
      <w:proofErr w:type="spellEnd"/>
      <w:r>
        <w:rPr>
          <w:rFonts w:ascii="Times New Roman" w:hAnsi="Times New Roman" w:cs="Times New Roman"/>
          <w:color w:val="000000"/>
        </w:rPr>
        <w:t xml:space="preserve"> but as this Court recently said in the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of </w:t>
      </w:r>
      <w:r>
        <w:rPr>
          <w:rFonts w:ascii="Times New Roman" w:hAnsi="Times New Roman" w:cs="Times New Roman"/>
          <w:i/>
          <w:iCs/>
          <w:color w:val="000000"/>
        </w:rPr>
        <w:t xml:space="preserve">Abu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Chiaba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Mohamed v Mohamed Bwana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Bakari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</w:t>
      </w:r>
      <w:r>
        <w:rPr>
          <w:rFonts w:ascii="Times New Roman" w:hAnsi="Times New Roman" w:cs="Times New Roman"/>
          <w:color w:val="000000"/>
        </w:rPr>
        <w:t>, civil appeal number 238 of 2003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(UR) while a judge of an inferior court is perfectly entitled to entertain doubts, even grave doubts, on the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correctness of the decision of a court superior to his and whose decisions are binding on him, such a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 has no jurisdiction to overrule the decision of the court superior to his. In the </w:t>
      </w:r>
      <w:r>
        <w:rPr>
          <w:rFonts w:ascii="Times New Roman" w:hAnsi="Times New Roman" w:cs="Times New Roman"/>
          <w:i/>
          <w:iCs/>
          <w:color w:val="000000"/>
        </w:rPr>
        <w:t xml:space="preserve">Abu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Chiaba</w:t>
      </w:r>
      <w:proofErr w:type="spellEnd"/>
      <w:r w:rsidR="00A3670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Mohamed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JA said in his judgment with which the majority of the Court agreed: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“Of course the learned Judge of the High Court would have no jurisdiction to over-rule a decision of this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Court even if she disagrees with the decision and the comments in her judgment must be ignored as having</w:t>
      </w:r>
      <w:r w:rsidR="00A367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been made without jurisdiction and in violation of the </w:t>
      </w:r>
      <w:r w:rsidR="00A36707">
        <w:rPr>
          <w:rFonts w:ascii="Times New Roman" w:hAnsi="Times New Roman" w:cs="Times New Roman"/>
          <w:color w:val="000000"/>
          <w:sz w:val="20"/>
          <w:szCs w:val="20"/>
        </w:rPr>
        <w:t>well-known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doctrine of precedent. I would respectfully</w:t>
      </w:r>
      <w:r w:rsidR="00A367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point out to the learned Judge that like all other Judges in her position, under the doctrine of precedent, she is</w:t>
      </w:r>
      <w:r w:rsidR="00A367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bound by the decisions of this Court even if she may not approve of</w:t>
      </w:r>
      <w:r w:rsidR="00A367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particular decision and any attempts to overrule or side-step the Court’s decision can only result in</w:t>
      </w:r>
      <w:r w:rsidR="00A367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unnecessary costs to the parties involved in the litigation . . .”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These remarks would bear repeating in this appeal for the learned trial Judge appears to have taken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umbrage to the fact that the counsel who represented the appellant before him: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“Cannot wave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Rift Valley Textile </w:t>
      </w:r>
      <w:r>
        <w:rPr>
          <w:rFonts w:ascii="Times New Roman" w:hAnsi="Times New Roman" w:cs="Times New Roman"/>
          <w:color w:val="000000"/>
          <w:sz w:val="20"/>
          <w:szCs w:val="20"/>
        </w:rPr>
        <w:t>case and tell the court: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‘here, see this authority which excludes us from paying any damages to the plaintiff on account of his</w:t>
      </w:r>
      <w:r w:rsidR="00A367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dismissal from employment’.”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learned Judge, </w:t>
      </w:r>
      <w:proofErr w:type="spellStart"/>
      <w:r>
        <w:rPr>
          <w:rFonts w:ascii="Times New Roman" w:hAnsi="Times New Roman" w:cs="Times New Roman"/>
          <w:color w:val="000000"/>
        </w:rPr>
        <w:t>ofcourse</w:t>
      </w:r>
      <w:proofErr w:type="spellEnd"/>
      <w:r>
        <w:rPr>
          <w:rFonts w:ascii="Times New Roman" w:hAnsi="Times New Roman" w:cs="Times New Roman"/>
          <w:color w:val="000000"/>
        </w:rPr>
        <w:t xml:space="preserve"> correctly added that each case must be decided in accordance with its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peculiar circumstances. That is undoubtedly correct but it is equally correct to say that established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principles of law generally remain the same in each case and it is the application of those principles to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of the case in hand that might vary from case to case.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have held, in agreement with the learned Judge that the contract of employment between the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and the respondent did not provide for an agreed period of notice.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Imende</w:t>
      </w:r>
      <w:proofErr w:type="spellEnd"/>
      <w:r>
        <w:rPr>
          <w:rFonts w:ascii="Times New Roman" w:hAnsi="Times New Roman" w:cs="Times New Roman"/>
          <w:color w:val="000000"/>
        </w:rPr>
        <w:t>, learned Counsel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appellant, told us that in the absence of an agreed period of notice, section 14(5) of the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Employment Act, Chapter 226 Laws of Kenya, applies. We understood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Imende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referring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particularly to section 14(5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color w:val="000000"/>
        </w:rPr>
        <w:t>iii) of the Act.</w:t>
      </w:r>
    </w:p>
    <w:p w:rsidR="007472FB" w:rsidRPr="00A36707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Section 14(5) is in these terms: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“14 (5) Every contract of service not being a contract to perform some specific work, without reference to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 or to undertake a journey shall, if made to be performed in Kenya, be deemed to be:</w:t>
      </w:r>
    </w:p>
    <w:p w:rsidR="007472FB" w:rsidRDefault="00A36707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(iii</w:t>
      </w:r>
      <w:r w:rsidR="007472FB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 w:rsidR="007472FB"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 w:rsidR="007472FB">
        <w:rPr>
          <w:rFonts w:ascii="Times New Roman" w:hAnsi="Times New Roman" w:cs="Times New Roman"/>
          <w:color w:val="000000"/>
          <w:sz w:val="20"/>
          <w:szCs w:val="20"/>
        </w:rPr>
        <w:t xml:space="preserve"> the contract is to pay wages or salary periodically at intervals of or exceeding one month,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472FB">
        <w:rPr>
          <w:rFonts w:ascii="Times New Roman" w:hAnsi="Times New Roman" w:cs="Times New Roman"/>
          <w:color w:val="000000"/>
          <w:sz w:val="20"/>
          <w:szCs w:val="20"/>
        </w:rPr>
        <w:t>a contract terminable by either party at the end of the period of twenty-eight days next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472FB">
        <w:rPr>
          <w:rFonts w:ascii="Times New Roman" w:hAnsi="Times New Roman" w:cs="Times New Roman"/>
          <w:color w:val="000000"/>
          <w:sz w:val="20"/>
          <w:szCs w:val="20"/>
        </w:rPr>
        <w:t>following the giving of notice in writing.”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do not understand that provision to mean that in all cases where no period of notice is provided, the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must deem, that the period of notice must be one month. Such an interpretation would be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unnecessarily restrictive and might well encourage employers not to provide for any period of notice in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employment contracts so that irrespective of the circumstances surrounding any employee, the period of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would and must be one month. Such an argument has never been raised in any of the previously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 cases and we would go along with decided cases which give the court discretion to decide what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reasonable period of notice ought to be in a particular case where such period is not provided for in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contract of employment between an employer and employee. We reject the contention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Imende</w:t>
      </w:r>
      <w:proofErr w:type="spellEnd"/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contrary.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trial Judge in this case thought that a period of twelve months would be a reasonable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notice period. In 1972, </w:t>
      </w:r>
      <w:proofErr w:type="spellStart"/>
      <w:r>
        <w:rPr>
          <w:rFonts w:ascii="Times New Roman" w:hAnsi="Times New Roman" w:cs="Times New Roman"/>
          <w:color w:val="000000"/>
        </w:rPr>
        <w:t>Kyobe</w:t>
      </w:r>
      <w:proofErr w:type="spellEnd"/>
      <w:r>
        <w:rPr>
          <w:rFonts w:ascii="Times New Roman" w:hAnsi="Times New Roman" w:cs="Times New Roman"/>
          <w:color w:val="000000"/>
        </w:rPr>
        <w:t xml:space="preserve"> who was a general manager of East African Airways was awarded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based on a notice period of six months which was thought to be reasonable. In 1975, Knight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was a pilot with the same airline was awarded damages based on a notice period of eighteen months.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are dealing with a matter which arose nearly twenty years down the line when getting alternative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employment is virtually untenable if not impossible. It was not shown, for example, that the respondent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secured alternative employment after his dismissal by the appellant. In these circumstances, we are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constrained to agree with the learned trial Judge that the notice period of twelve months, in all the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of the case, was reasonable and we see no reason to warrant our interfering.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was really the substantial issue before us. There was a cross-appeal on the question of terminal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benefits but we do not know what those terminal benefits were and if the respondent is or was entitled to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pension from his contributory pension scheme, there is nothing to stop him claiming such contribution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relevant body. The respondent also brought in the question of an early retirement scheme, but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truth of the matter is that the respondent was dismissed and did not retire under any scheme. In any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retirement under that scheme was by invitation and the respondent did not show anything indicating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had been invited to retire under the scheme. The cross-appeal must accordingly fail.</w:t>
      </w:r>
    </w:p>
    <w:p w:rsidR="007472FB" w:rsidRDefault="007472FB" w:rsidP="009037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Our final orders in the appeal shall be that the appeal of the appellant be and is hereby dismissed with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to the respondent. The respondent’s cross-appeal is also hereby dismissed but with no orders as to</w:t>
      </w:r>
      <w:r w:rsidR="00A367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to the appellant.</w:t>
      </w:r>
    </w:p>
    <w:p w:rsidR="007472FB" w:rsidRDefault="007472FB" w:rsidP="007472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7472FB" w:rsidRDefault="007472FB" w:rsidP="007472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Imende</w:t>
      </w:r>
      <w:proofErr w:type="spellEnd"/>
    </w:p>
    <w:p w:rsidR="007472FB" w:rsidRDefault="007472FB" w:rsidP="007472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7472FB" w:rsidP="007472FB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FB"/>
    <w:rsid w:val="007472FB"/>
    <w:rsid w:val="0090372F"/>
    <w:rsid w:val="00A36707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15E11-CF03-4BDD-A01B-1840C5D2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2018-07-05T05:53:00Z</dcterms:created>
  <dcterms:modified xsi:type="dcterms:W3CDTF">2018-07-10T06:58:00Z</dcterms:modified>
</cp:coreProperties>
</file>