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31B0" w:rsidRDefault="009E31B0" w:rsidP="0040532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Barclays Bank of Kenya v </w:t>
      </w: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Jandy</w:t>
      </w:r>
      <w:proofErr w:type="spellEnd"/>
    </w:p>
    <w:p w:rsidR="009E31B0" w:rsidRDefault="009E31B0" w:rsidP="0040532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proofErr w:type="spellStart"/>
      <w:r>
        <w:rPr>
          <w:rFonts w:ascii="Times New Roman" w:hAnsi="Times New Roman" w:cs="Times New Roman"/>
          <w:color w:val="000000"/>
        </w:rPr>
        <w:t>Milimani</w:t>
      </w:r>
      <w:proofErr w:type="spellEnd"/>
      <w:r>
        <w:rPr>
          <w:rFonts w:ascii="Times New Roman" w:hAnsi="Times New Roman" w:cs="Times New Roman"/>
          <w:color w:val="000000"/>
        </w:rPr>
        <w:t xml:space="preserve"> Commercial Courts of Kenya at Nairobi</w:t>
      </w:r>
    </w:p>
    <w:p w:rsidR="009E31B0" w:rsidRDefault="009E31B0" w:rsidP="0040532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ruling: </w:t>
      </w:r>
      <w:r>
        <w:rPr>
          <w:rFonts w:ascii="Times New Roman" w:hAnsi="Times New Roman" w:cs="Times New Roman"/>
          <w:color w:val="000000"/>
        </w:rPr>
        <w:t>9 July 2004</w:t>
      </w:r>
    </w:p>
    <w:p w:rsidR="009E31B0" w:rsidRDefault="009E31B0" w:rsidP="0040532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361/02</w:t>
      </w:r>
    </w:p>
    <w:p w:rsidR="009E31B0" w:rsidRDefault="009E31B0" w:rsidP="0040532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Nyamu</w:t>
      </w:r>
      <w:proofErr w:type="spellEnd"/>
      <w:r>
        <w:rPr>
          <w:rFonts w:ascii="Times New Roman" w:hAnsi="Times New Roman" w:cs="Times New Roman"/>
          <w:color w:val="000000"/>
        </w:rPr>
        <w:t xml:space="preserve"> J</w:t>
      </w:r>
    </w:p>
    <w:p w:rsidR="009E31B0" w:rsidRDefault="009E31B0" w:rsidP="0040532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r>
        <w:rPr>
          <w:rFonts w:ascii="Times New Roman" w:hAnsi="Times New Roman" w:cs="Times New Roman"/>
          <w:color w:val="000000"/>
        </w:rPr>
        <w:t xml:space="preserve">EW </w:t>
      </w:r>
      <w:proofErr w:type="spellStart"/>
      <w:r>
        <w:rPr>
          <w:rFonts w:ascii="Times New Roman" w:hAnsi="Times New Roman" w:cs="Times New Roman"/>
          <w:color w:val="000000"/>
        </w:rPr>
        <w:t>Kinyenje</w:t>
      </w:r>
      <w:proofErr w:type="spellEnd"/>
    </w:p>
    <w:p w:rsidR="009E31B0" w:rsidRDefault="009E31B0" w:rsidP="0040532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 xml:space="preserve">C </w:t>
      </w:r>
      <w:proofErr w:type="spellStart"/>
      <w:r>
        <w:rPr>
          <w:rFonts w:ascii="Times New Roman" w:hAnsi="Times New Roman" w:cs="Times New Roman"/>
          <w:color w:val="000000"/>
        </w:rPr>
        <w:t>Kanjama</w:t>
      </w:r>
      <w:proofErr w:type="spellEnd"/>
    </w:p>
    <w:p w:rsidR="009E31B0" w:rsidRDefault="009E31B0" w:rsidP="0040532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[1] Bank – Duty of care – Customer’s duty of care – Warranty of authority – Customer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utilising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large</w:t>
      </w:r>
    </w:p>
    <w:p w:rsidR="009E31B0" w:rsidRDefault="009E31B0" w:rsidP="0040532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unexpected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credit placed in his account – Whether customer’s failure to make a query was a breach of</w:t>
      </w:r>
    </w:p>
    <w:p w:rsidR="009E31B0" w:rsidRDefault="009E31B0" w:rsidP="0040532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contractual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duty and warranty of authority – Whether bank’s statement of account amounts to positive</w:t>
      </w:r>
    </w:p>
    <w:p w:rsidR="009E31B0" w:rsidRDefault="009E31B0" w:rsidP="0040532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representation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by bank – Circumstances in which customer entitled to rely on bank’s representation.</w:t>
      </w:r>
    </w:p>
    <w:p w:rsidR="009E31B0" w:rsidRDefault="009E31B0" w:rsidP="0040532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Bank – Negligence – Bank negligently debiting one customer’s account and crediting second</w:t>
      </w:r>
    </w:p>
    <w:p w:rsidR="009E31B0" w:rsidRDefault="009E31B0" w:rsidP="0040532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customer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– Second customer privy to unusual transaction originating with third party forgery – Whether</w:t>
      </w:r>
    </w:p>
    <w:p w:rsidR="009E31B0" w:rsidRDefault="009E31B0" w:rsidP="0040532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bank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had failed in duty of care to second customer – Whether bank estopped from recovery due to</w:t>
      </w:r>
    </w:p>
    <w:p w:rsidR="009E31B0" w:rsidRDefault="009E31B0" w:rsidP="0040532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change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of position by second customer after receipt of funds in his account.</w:t>
      </w:r>
    </w:p>
    <w:p w:rsidR="009E31B0" w:rsidRDefault="009E31B0" w:rsidP="0040532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[3] Civil procedure – Interest – Order for refund of money under equity – Bank seeking interest on</w:t>
      </w:r>
    </w:p>
    <w:p w:rsidR="009E31B0" w:rsidRDefault="009E31B0" w:rsidP="0040532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wrongly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credited funds – Whether commercial interest payable.</w:t>
      </w:r>
    </w:p>
    <w:p w:rsidR="009E31B0" w:rsidRDefault="009E31B0" w:rsidP="0040532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[4] Equity – Mistake of fact – Estoppel – Transfer of money under mistake of fact – Transferee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utilising</w:t>
      </w:r>
      <w:proofErr w:type="spellEnd"/>
    </w:p>
    <w:p w:rsidR="009E31B0" w:rsidRDefault="009E31B0" w:rsidP="0040532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money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while aware that it did not belong to him – Whether he had changed his position in law – Whether</w:t>
      </w:r>
    </w:p>
    <w:p w:rsidR="009E31B0" w:rsidRDefault="009E31B0" w:rsidP="0040532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order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for restitution and tracing would be made.</w:t>
      </w:r>
    </w:p>
    <w:p w:rsidR="009E31B0" w:rsidRDefault="009E31B0" w:rsidP="0040532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[5] Restitution – Unjust enrichment – Mistake of fact by bank – Funds debited from first </w:t>
      </w:r>
      <w:proofErr w:type="gramStart"/>
      <w:r>
        <w:rPr>
          <w:rFonts w:ascii="Times New Roman" w:hAnsi="Times New Roman" w:cs="Times New Roman"/>
          <w:i/>
          <w:iCs/>
          <w:color w:val="000000"/>
        </w:rPr>
        <w:t>customer’s</w:t>
      </w:r>
      <w:proofErr w:type="gramEnd"/>
    </w:p>
    <w:p w:rsidR="009E31B0" w:rsidRDefault="009E31B0" w:rsidP="0040532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account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after forged mandate – Second customer facilitating withdrawal of funds credited to his account</w:t>
      </w:r>
    </w:p>
    <w:p w:rsidR="009E31B0" w:rsidRDefault="009E31B0" w:rsidP="0040532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– Whether amounts to unjust enrichment – Whether restitution would be ordered if money had been</w:t>
      </w:r>
    </w:p>
    <w:p w:rsidR="009E31B0" w:rsidRDefault="009E31B0" w:rsidP="0040532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spent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>.</w:t>
      </w:r>
    </w:p>
    <w:p w:rsidR="009E31B0" w:rsidRDefault="009E31B0" w:rsidP="009E31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9E31B0" w:rsidRDefault="009E31B0" w:rsidP="004053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Plaintiff was a bank. It received and acted upon a forged instruction letter and transferred a sum of</w:t>
      </w:r>
    </w:p>
    <w:p w:rsidR="009E31B0" w:rsidRDefault="009E31B0" w:rsidP="004053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1 348 410 from a first customer’s account to a second customer’s account. The Defendant was the</w:t>
      </w:r>
      <w:r w:rsidR="0040532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second customer. The forgery was the work of a law clerk. The clerk informed the Defendant that he had</w:t>
      </w:r>
      <w:r w:rsidR="0040532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transferred the money to his account, allegedly because he lacked a personal ID card. The Defendant</w:t>
      </w:r>
      <w:r w:rsidR="0040532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prepared an open </w:t>
      </w:r>
      <w:proofErr w:type="spellStart"/>
      <w:r>
        <w:rPr>
          <w:rFonts w:ascii="Times New Roman" w:hAnsi="Times New Roman" w:cs="Times New Roman"/>
          <w:color w:val="000000"/>
        </w:rPr>
        <w:t>cheque</w:t>
      </w:r>
      <w:proofErr w:type="spellEnd"/>
      <w:r>
        <w:rPr>
          <w:rFonts w:ascii="Times New Roman" w:hAnsi="Times New Roman" w:cs="Times New Roman"/>
          <w:color w:val="000000"/>
        </w:rPr>
        <w:t xml:space="preserve"> for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1 million in the clerk’s name. The </w:t>
      </w:r>
      <w:proofErr w:type="spellStart"/>
      <w:r>
        <w:rPr>
          <w:rFonts w:ascii="Times New Roman" w:hAnsi="Times New Roman" w:cs="Times New Roman"/>
          <w:color w:val="000000"/>
        </w:rPr>
        <w:t>cheque</w:t>
      </w:r>
      <w:proofErr w:type="spellEnd"/>
      <w:r>
        <w:rPr>
          <w:rFonts w:ascii="Times New Roman" w:hAnsi="Times New Roman" w:cs="Times New Roman"/>
          <w:color w:val="000000"/>
        </w:rPr>
        <w:t xml:space="preserve"> was paid out by the bank in</w:t>
      </w:r>
      <w:r w:rsidR="0040532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Defendant’s presence to an accomplice of the clerk. The Defendant transferred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200 000 as his</w:t>
      </w:r>
      <w:r w:rsidR="0040532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commission to his second account with the same bank.</w:t>
      </w:r>
    </w:p>
    <w:p w:rsidR="009E31B0" w:rsidRDefault="009E31B0" w:rsidP="004053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After the fraud was uncovered, the Defendant was charged in a criminal case and convicted. The</w:t>
      </w:r>
      <w:r w:rsidR="0040532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conviction was later set aside on appeal after a state counsel made an unexplained concession. The</w:t>
      </w:r>
    </w:p>
    <w:p w:rsidR="009E31B0" w:rsidRDefault="009E31B0" w:rsidP="004053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Plaintiff refunded the full amount to its first customer whose account had been wrongly debited. It now</w:t>
      </w:r>
      <w:r w:rsidR="0040532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filed a civil suit seeking to recover the said money from the Defendant. Neither of the masterminds of the</w:t>
      </w:r>
      <w:r w:rsidR="0040532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forgery were joined to the suit.</w:t>
      </w:r>
    </w:p>
    <w:p w:rsidR="009E31B0" w:rsidRDefault="009E31B0" w:rsidP="004053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Plaintiff argued that the Defendant owed it a contractual duty of care to act in good faith. The</w:t>
      </w:r>
    </w:p>
    <w:p w:rsidR="009E31B0" w:rsidRDefault="009E31B0" w:rsidP="004053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Defendant had breached this duty by failing to notify the bank of a large unexplained deposit in his</w:t>
      </w:r>
      <w:r w:rsidR="0040532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account. It was argued that the amount had been deposited under a mistake of fact, and that the</w:t>
      </w:r>
    </w:p>
    <w:p w:rsidR="009E31B0" w:rsidRDefault="009E31B0" w:rsidP="004053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Defendant’s breach of his warranty of authority had caused loss to the bank for which it was entitled to</w:t>
      </w:r>
      <w:r w:rsidR="0040532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restitution.</w:t>
      </w:r>
    </w:p>
    <w:p w:rsidR="009E31B0" w:rsidRDefault="009E31B0" w:rsidP="004053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Defendant in response argued that the bank had been negligent in acting upon a forged instruction</w:t>
      </w:r>
      <w:r w:rsidR="0040532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letter without proper care, and that the bank made a representation to the Defendant, which the Defendant</w:t>
      </w:r>
      <w:r w:rsidR="0040532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had acted upon and changed his position. Hence it was claimed that the bank was not entitled to any</w:t>
      </w:r>
      <w:r w:rsidR="0040532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relief from the Defendant.</w:t>
      </w:r>
    </w:p>
    <w:p w:rsidR="009E31B0" w:rsidRDefault="009E31B0" w:rsidP="004053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parties agreed to have the matter finally determined on the basis of a filed statement of agreed</w:t>
      </w:r>
      <w:r w:rsidR="0040532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facts, a list of agreed issues and documents, and filed written submissions. The Court reviewed the</w:t>
      </w:r>
      <w:r w:rsidR="0040532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documents and considered the issues.</w:t>
      </w:r>
    </w:p>
    <w:p w:rsidR="009E31B0" w:rsidRDefault="009E31B0" w:rsidP="004053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lastRenderedPageBreak/>
        <w:t xml:space="preserve">Held </w:t>
      </w:r>
      <w:r>
        <w:rPr>
          <w:rFonts w:ascii="Times New Roman" w:hAnsi="Times New Roman" w:cs="Times New Roman"/>
          <w:color w:val="000000"/>
        </w:rPr>
        <w:t>– A bank customer has a contractual duty to exercise reasonable care in executing written orders so</w:t>
      </w:r>
      <w:r w:rsidR="0040532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 not to mislead the bank by ambiguities or to facilitate fraud or forgery. The customer has a further duty</w:t>
      </w:r>
      <w:r w:rsidR="0040532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inform the bank of any forged payment orders, which includes the duty to notify the bank of</w:t>
      </w:r>
      <w:r w:rsidR="0040532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unexpected deposits into his account. The customer had breached his duty of care by failing to act in</w:t>
      </w:r>
      <w:r w:rsidR="0040532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good faith, thus causing loss to the bank.</w:t>
      </w:r>
    </w:p>
    <w:p w:rsidR="009E31B0" w:rsidRDefault="009E31B0" w:rsidP="004053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 bank customer by using the funds in his account warrants to the bank that he has the authority to so</w:t>
      </w:r>
      <w:r w:rsidR="0040532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use them. The customer in this case breached his warranty of authority by facilitating, encouraging and</w:t>
      </w:r>
      <w:r w:rsidR="0040532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assisting in the withdrawal of funds which did not belong to him, from his account.</w:t>
      </w:r>
    </w:p>
    <w:p w:rsidR="009E31B0" w:rsidRPr="00405327" w:rsidRDefault="009E31B0" w:rsidP="004053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bank may have been negligent to its first customer by failing to exercise sufficient care prior to</w:t>
      </w:r>
      <w:r w:rsidR="0040532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accepting the forged instruction letter. This duty of care was however not owed to the second customer,</w:t>
      </w:r>
      <w:r w:rsidR="0040532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who received money under a mistake of fact (</w:t>
      </w:r>
      <w:r>
        <w:rPr>
          <w:rFonts w:ascii="Times New Roman" w:hAnsi="Times New Roman" w:cs="Times New Roman"/>
          <w:i/>
          <w:iCs/>
          <w:color w:val="000000"/>
        </w:rPr>
        <w:t>National Westminster Bank v Barclays Bank International</w:t>
      </w:r>
    </w:p>
    <w:p w:rsidR="009E31B0" w:rsidRDefault="009E31B0" w:rsidP="004053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[1975] QB 654 adopted; </w:t>
      </w:r>
      <w:r>
        <w:rPr>
          <w:rFonts w:ascii="Times New Roman" w:hAnsi="Times New Roman" w:cs="Times New Roman"/>
          <w:i/>
          <w:iCs/>
          <w:color w:val="000000"/>
        </w:rPr>
        <w:t xml:space="preserve">National Bank of Commerce v Yakut </w:t>
      </w:r>
      <w:r>
        <w:rPr>
          <w:rFonts w:ascii="Times New Roman" w:hAnsi="Times New Roman" w:cs="Times New Roman"/>
          <w:color w:val="000000"/>
        </w:rPr>
        <w:t>[1989] TLR 11 distinguished).</w:t>
      </w:r>
    </w:p>
    <w:p w:rsidR="009E31B0" w:rsidRDefault="009E31B0" w:rsidP="004053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fact that the bank confirmed the customer’s account balance did not amount to a positive</w:t>
      </w:r>
      <w:r w:rsidR="0040532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representation that the credited funds belonged to the customer since the customer was aware of the true</w:t>
      </w:r>
      <w:r w:rsidR="0040532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position, the money was not paid for any consideration and the balance was unusual and unexpected</w:t>
      </w:r>
    </w:p>
    <w:p w:rsidR="009E31B0" w:rsidRDefault="009E31B0" w:rsidP="004053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 xml:space="preserve">Barclays Bank Ltd v WJS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Simmson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Cooke (Southern) Ltd and another </w:t>
      </w:r>
      <w:r>
        <w:rPr>
          <w:rFonts w:ascii="Times New Roman" w:hAnsi="Times New Roman" w:cs="Times New Roman"/>
          <w:color w:val="000000"/>
        </w:rPr>
        <w:t>[1977] 1 QB 677 approved;</w:t>
      </w:r>
    </w:p>
    <w:p w:rsidR="009E31B0" w:rsidRDefault="009E31B0" w:rsidP="004053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Re Jones Ltd v Waring and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Gillow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[1926] AC 670 adopted; </w:t>
      </w:r>
      <w:r>
        <w:rPr>
          <w:rFonts w:ascii="Times New Roman" w:hAnsi="Times New Roman" w:cs="Times New Roman"/>
          <w:i/>
          <w:iCs/>
          <w:color w:val="000000"/>
        </w:rPr>
        <w:t xml:space="preserve">Price v Neal </w:t>
      </w:r>
      <w:r>
        <w:rPr>
          <w:rFonts w:ascii="Times New Roman" w:hAnsi="Times New Roman" w:cs="Times New Roman"/>
          <w:color w:val="000000"/>
        </w:rPr>
        <w:t>[1962] 3 Burr 1354</w:t>
      </w:r>
      <w:r w:rsidR="0040532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distinguished). Representation in this case came from the fraudsters to the customer, and from the</w:t>
      </w:r>
      <w:r w:rsidR="0040532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customer to the bank by his presence at the paying counter (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Dukhiya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The Standard Bank </w:t>
      </w:r>
      <w:r>
        <w:rPr>
          <w:rFonts w:ascii="Times New Roman" w:hAnsi="Times New Roman" w:cs="Times New Roman"/>
          <w:color w:val="000000"/>
        </w:rPr>
        <w:t>[1959] EA 958</w:t>
      </w:r>
      <w:r w:rsidR="0040532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distinguished).</w:t>
      </w:r>
    </w:p>
    <w:p w:rsidR="009E31B0" w:rsidRDefault="009E31B0" w:rsidP="004053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fact that the customer facilitated the withdrawal of funds after receiving the statement did not</w:t>
      </w:r>
      <w:r w:rsidR="0040532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amount to a change of position in law, and if there was any change of position, it was voluntary and</w:t>
      </w:r>
      <w:r w:rsidR="0040532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reckless (</w:t>
      </w:r>
      <w:r>
        <w:rPr>
          <w:rFonts w:ascii="Times New Roman" w:hAnsi="Times New Roman" w:cs="Times New Roman"/>
          <w:i/>
          <w:iCs/>
          <w:color w:val="000000"/>
        </w:rPr>
        <w:t xml:space="preserve">National Westminster Bank v Barclays Bank International </w:t>
      </w:r>
      <w:r>
        <w:rPr>
          <w:rFonts w:ascii="Times New Roman" w:hAnsi="Times New Roman" w:cs="Times New Roman"/>
          <w:color w:val="000000"/>
        </w:rPr>
        <w:t xml:space="preserve">[1975] QB 654 adopted;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Silayo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</w:t>
      </w:r>
      <w:r w:rsidR="00405327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CRDB Ltd </w:t>
      </w:r>
      <w:r>
        <w:rPr>
          <w:rFonts w:ascii="Times New Roman" w:hAnsi="Times New Roman" w:cs="Times New Roman"/>
          <w:color w:val="000000"/>
        </w:rPr>
        <w:t>[2002] 1EA 288 distinguished). The customer was the author of his own wrong and could not escape liability by</w:t>
      </w:r>
      <w:r w:rsidR="0040532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showing that he had used the money (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Larner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LCC </w:t>
      </w:r>
      <w:r>
        <w:rPr>
          <w:rFonts w:ascii="Times New Roman" w:hAnsi="Times New Roman" w:cs="Times New Roman"/>
          <w:color w:val="000000"/>
        </w:rPr>
        <w:t xml:space="preserve">[1949] 2 KB 683 and </w:t>
      </w:r>
      <w:r>
        <w:rPr>
          <w:rFonts w:ascii="Times New Roman" w:hAnsi="Times New Roman" w:cs="Times New Roman"/>
          <w:i/>
          <w:iCs/>
          <w:color w:val="000000"/>
        </w:rPr>
        <w:t>Re Jones Ltd v Waring and</w:t>
      </w:r>
      <w:r w:rsidR="00405327"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Gillow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[1926] AC 670 adopted).</w:t>
      </w:r>
    </w:p>
    <w:p w:rsidR="009E31B0" w:rsidRDefault="009E31B0" w:rsidP="004053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customer had breached his duty of care and warranty of authority causing loss for which the bank</w:t>
      </w:r>
      <w:r w:rsidR="0040532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entitled to restitution (</w:t>
      </w:r>
      <w:r>
        <w:rPr>
          <w:rFonts w:ascii="Times New Roman" w:hAnsi="Times New Roman" w:cs="Times New Roman"/>
          <w:i/>
          <w:iCs/>
          <w:color w:val="000000"/>
        </w:rPr>
        <w:t xml:space="preserve">Chase Investment Corporation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Keshra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[1978] KLR 143 followed; </w:t>
      </w:r>
      <w:r>
        <w:rPr>
          <w:rFonts w:ascii="Times New Roman" w:hAnsi="Times New Roman" w:cs="Times New Roman"/>
          <w:i/>
          <w:iCs/>
          <w:color w:val="000000"/>
        </w:rPr>
        <w:t>Standard</w:t>
      </w:r>
      <w:r w:rsidR="0040532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Chartered Bank Ltd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Akello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[1979] KLR 89 and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Ndei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Mathira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Co-op Society </w:t>
      </w:r>
      <w:r>
        <w:rPr>
          <w:rFonts w:ascii="Times New Roman" w:hAnsi="Times New Roman" w:cs="Times New Roman"/>
          <w:color w:val="000000"/>
        </w:rPr>
        <w:t>distinguished). The</w:t>
      </w:r>
      <w:r w:rsidR="0040532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customer received the deposit under a mistake of fact, and the bank was therefore entitled to the equitable</w:t>
      </w:r>
      <w:r w:rsidR="0040532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remedy of tracing the money (</w:t>
      </w:r>
      <w:r>
        <w:rPr>
          <w:rFonts w:ascii="Times New Roman" w:hAnsi="Times New Roman" w:cs="Times New Roman"/>
          <w:i/>
          <w:iCs/>
          <w:color w:val="000000"/>
        </w:rPr>
        <w:t xml:space="preserve">Chase Manhattan Bank v Israel British Bank Ltd </w:t>
      </w:r>
      <w:r>
        <w:rPr>
          <w:rFonts w:ascii="Times New Roman" w:hAnsi="Times New Roman" w:cs="Times New Roman"/>
          <w:color w:val="000000"/>
        </w:rPr>
        <w:t>[1979] 3 All ER 1028</w:t>
      </w:r>
      <w:r w:rsidR="0040532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referred to).</w:t>
      </w:r>
    </w:p>
    <w:p w:rsidR="009E31B0" w:rsidRDefault="009E31B0" w:rsidP="004053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Commercial interest would however not be awarded on the refund claimed. There was no written</w:t>
      </w:r>
      <w:r w:rsidR="0040532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agreement to charge interest, nor proof of usage or custom to charge interest in such circumstances. It</w:t>
      </w:r>
      <w:r w:rsidR="0040532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would also be unfair for the bank to benefit from its own mistake, and restitution and tracing should be</w:t>
      </w:r>
      <w:r w:rsidR="0040532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reasonably confined to what has been unjustly acquired.</w:t>
      </w:r>
    </w:p>
    <w:p w:rsidR="009E31B0" w:rsidRDefault="009E31B0" w:rsidP="004053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Judgment was made in favour of the Plaintiff for the entire sum claimed, with interest at court rates</w:t>
      </w:r>
      <w:r w:rsidR="0040532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from the date of judgment. A </w:t>
      </w:r>
      <w:proofErr w:type="spellStart"/>
      <w:r>
        <w:rPr>
          <w:rFonts w:ascii="Times New Roman" w:hAnsi="Times New Roman" w:cs="Times New Roman"/>
          <w:color w:val="000000"/>
        </w:rPr>
        <w:t>mareva</w:t>
      </w:r>
      <w:proofErr w:type="spellEnd"/>
      <w:r>
        <w:rPr>
          <w:rFonts w:ascii="Times New Roman" w:hAnsi="Times New Roman" w:cs="Times New Roman"/>
          <w:color w:val="000000"/>
        </w:rPr>
        <w:t xml:space="preserve"> injunction to restrain the Defendant from dealing with his assets</w:t>
      </w:r>
      <w:r w:rsidR="0040532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held in any financial institution, and a decree allowing the Plaintiff to trace and recover the wrongly</w:t>
      </w:r>
      <w:r w:rsidR="0040532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credited amount from the Defendant, were also granted.</w:t>
      </w:r>
    </w:p>
    <w:p w:rsidR="009E31B0" w:rsidRDefault="009E31B0" w:rsidP="009E31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Cases referred to in judgment</w:t>
      </w:r>
    </w:p>
    <w:p w:rsidR="009E31B0" w:rsidRDefault="009E31B0" w:rsidP="009E31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(“</w:t>
      </w:r>
      <w:r>
        <w:rPr>
          <w:rFonts w:ascii="Times New Roman" w:hAnsi="Times New Roman" w:cs="Times New Roman"/>
          <w:b/>
          <w:b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” means adopted; “</w:t>
      </w:r>
      <w:r>
        <w:rPr>
          <w:rFonts w:ascii="Times New Roman" w:hAnsi="Times New Roman" w:cs="Times New Roman"/>
          <w:b/>
          <w:bCs/>
          <w:color w:val="000000"/>
        </w:rPr>
        <w:t>AL</w:t>
      </w:r>
      <w:r>
        <w:rPr>
          <w:rFonts w:ascii="Times New Roman" w:hAnsi="Times New Roman" w:cs="Times New Roman"/>
          <w:color w:val="000000"/>
        </w:rPr>
        <w:t>” means allowed; “</w:t>
      </w:r>
      <w:r>
        <w:rPr>
          <w:rFonts w:ascii="Times New Roman" w:hAnsi="Times New Roman" w:cs="Times New Roman"/>
          <w:b/>
          <w:bCs/>
          <w:color w:val="000000"/>
        </w:rPr>
        <w:t>AP</w:t>
      </w:r>
      <w:r>
        <w:rPr>
          <w:rFonts w:ascii="Times New Roman" w:hAnsi="Times New Roman" w:cs="Times New Roman"/>
          <w:color w:val="000000"/>
        </w:rPr>
        <w:t>” means applied; “</w:t>
      </w:r>
      <w:r>
        <w:rPr>
          <w:rFonts w:ascii="Times New Roman" w:hAnsi="Times New Roman" w:cs="Times New Roman"/>
          <w:b/>
          <w:bCs/>
          <w:color w:val="000000"/>
        </w:rPr>
        <w:t>APP</w:t>
      </w:r>
      <w:r>
        <w:rPr>
          <w:rFonts w:ascii="Times New Roman" w:hAnsi="Times New Roman" w:cs="Times New Roman"/>
          <w:color w:val="000000"/>
        </w:rPr>
        <w:t>” means approved; “</w:t>
      </w:r>
      <w:r>
        <w:rPr>
          <w:rFonts w:ascii="Times New Roman" w:hAnsi="Times New Roman" w:cs="Times New Roman"/>
          <w:b/>
          <w:b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” means</w:t>
      </w:r>
    </w:p>
    <w:p w:rsidR="009E31B0" w:rsidRDefault="009E31B0" w:rsidP="009E31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considered; “</w:t>
      </w:r>
      <w:r>
        <w:rPr>
          <w:rFonts w:ascii="Times New Roman" w:hAnsi="Times New Roman" w:cs="Times New Roman"/>
          <w:b/>
          <w:bCs/>
          <w:color w:val="000000"/>
        </w:rPr>
        <w:t>D</w:t>
      </w:r>
      <w:r>
        <w:rPr>
          <w:rFonts w:ascii="Times New Roman" w:hAnsi="Times New Roman" w:cs="Times New Roman"/>
          <w:color w:val="000000"/>
        </w:rPr>
        <w:t>” means distinguished; “</w:t>
      </w:r>
      <w:r>
        <w:rPr>
          <w:rFonts w:ascii="Times New Roman" w:hAnsi="Times New Roman" w:cs="Times New Roman"/>
          <w:b/>
          <w:bCs/>
          <w:color w:val="000000"/>
        </w:rPr>
        <w:t>DA</w:t>
      </w:r>
      <w:r>
        <w:rPr>
          <w:rFonts w:ascii="Times New Roman" w:hAnsi="Times New Roman" w:cs="Times New Roman"/>
          <w:color w:val="000000"/>
        </w:rPr>
        <w:t>” means disapproved; “</w:t>
      </w:r>
      <w:r>
        <w:rPr>
          <w:rFonts w:ascii="Times New Roman" w:hAnsi="Times New Roman" w:cs="Times New Roman"/>
          <w:b/>
          <w:bCs/>
          <w:color w:val="000000"/>
        </w:rPr>
        <w:t>DT</w:t>
      </w:r>
      <w:r>
        <w:rPr>
          <w:rFonts w:ascii="Times New Roman" w:hAnsi="Times New Roman" w:cs="Times New Roman"/>
          <w:color w:val="000000"/>
        </w:rPr>
        <w:t>” means doubted; “</w:t>
      </w:r>
      <w:r>
        <w:rPr>
          <w:rFonts w:ascii="Times New Roman" w:hAnsi="Times New Roman" w:cs="Times New Roman"/>
          <w:b/>
          <w:b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” means</w:t>
      </w:r>
    </w:p>
    <w:p w:rsidR="009E31B0" w:rsidRDefault="009E31B0" w:rsidP="009E31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explained</w:t>
      </w:r>
      <w:proofErr w:type="gramEnd"/>
      <w:r>
        <w:rPr>
          <w:rFonts w:ascii="Times New Roman" w:hAnsi="Times New Roman" w:cs="Times New Roman"/>
          <w:color w:val="000000"/>
        </w:rPr>
        <w:t>; “</w:t>
      </w:r>
      <w:r>
        <w:rPr>
          <w:rFonts w:ascii="Times New Roman" w:hAnsi="Times New Roman" w:cs="Times New Roman"/>
          <w:b/>
          <w:bCs/>
          <w:color w:val="000000"/>
        </w:rPr>
        <w:t>F</w:t>
      </w:r>
      <w:r>
        <w:rPr>
          <w:rFonts w:ascii="Times New Roman" w:hAnsi="Times New Roman" w:cs="Times New Roman"/>
          <w:color w:val="000000"/>
        </w:rPr>
        <w:t>” means followed; “</w:t>
      </w:r>
      <w:r>
        <w:rPr>
          <w:rFonts w:ascii="Times New Roman" w:hAnsi="Times New Roman" w:cs="Times New Roman"/>
          <w:b/>
          <w:bCs/>
          <w:color w:val="000000"/>
        </w:rPr>
        <w:t>O</w:t>
      </w:r>
      <w:r>
        <w:rPr>
          <w:rFonts w:ascii="Times New Roman" w:hAnsi="Times New Roman" w:cs="Times New Roman"/>
          <w:color w:val="000000"/>
        </w:rPr>
        <w:t>” means overruled)</w:t>
      </w:r>
    </w:p>
    <w:p w:rsidR="009E31B0" w:rsidRDefault="009E31B0" w:rsidP="009E31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</w:rPr>
      </w:pPr>
      <w:r>
        <w:rPr>
          <w:rFonts w:ascii="Times New Roman" w:hAnsi="Times New Roman" w:cs="Times New Roman"/>
          <w:b/>
          <w:bCs/>
          <w:i/>
          <w:iCs/>
          <w:color w:val="000000"/>
        </w:rPr>
        <w:t>East Africa</w:t>
      </w:r>
    </w:p>
    <w:p w:rsidR="009E31B0" w:rsidRDefault="009E31B0" w:rsidP="009E31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Chase International Investment Corporation and another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Keshra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others </w:t>
      </w:r>
      <w:r>
        <w:rPr>
          <w:rFonts w:ascii="Times New Roman" w:hAnsi="Times New Roman" w:cs="Times New Roman"/>
          <w:color w:val="000000"/>
        </w:rPr>
        <w:t xml:space="preserve">[1978] KLR 143 – </w:t>
      </w:r>
      <w:r>
        <w:rPr>
          <w:rFonts w:ascii="Times New Roman" w:hAnsi="Times New Roman" w:cs="Times New Roman"/>
          <w:b/>
          <w:bCs/>
          <w:color w:val="000000"/>
        </w:rPr>
        <w:t>F</w:t>
      </w:r>
    </w:p>
    <w:p w:rsidR="009E31B0" w:rsidRDefault="009E31B0" w:rsidP="009E31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Dukhiya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Standard Bank of South Africa Ltd </w:t>
      </w:r>
      <w:r>
        <w:rPr>
          <w:rFonts w:ascii="Times New Roman" w:hAnsi="Times New Roman" w:cs="Times New Roman"/>
          <w:color w:val="000000"/>
        </w:rPr>
        <w:t xml:space="preserve">[1959] EA 958 – </w:t>
      </w:r>
      <w:r>
        <w:rPr>
          <w:rFonts w:ascii="Times New Roman" w:hAnsi="Times New Roman" w:cs="Times New Roman"/>
          <w:b/>
          <w:bCs/>
          <w:color w:val="000000"/>
        </w:rPr>
        <w:t>D</w:t>
      </w:r>
    </w:p>
    <w:p w:rsidR="009E31B0" w:rsidRDefault="009E31B0" w:rsidP="009E31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National Bank of Commerce v Y</w:t>
      </w:r>
      <w:bookmarkStart w:id="0" w:name="_GoBack"/>
      <w:bookmarkEnd w:id="0"/>
      <w:r>
        <w:rPr>
          <w:rFonts w:ascii="Times New Roman" w:hAnsi="Times New Roman" w:cs="Times New Roman"/>
          <w:i/>
          <w:iCs/>
          <w:color w:val="000000"/>
        </w:rPr>
        <w:t xml:space="preserve">akut </w:t>
      </w:r>
      <w:r>
        <w:rPr>
          <w:rFonts w:ascii="Times New Roman" w:hAnsi="Times New Roman" w:cs="Times New Roman"/>
          <w:color w:val="000000"/>
        </w:rPr>
        <w:t xml:space="preserve">[1989] TLR 11 – </w:t>
      </w:r>
      <w:r>
        <w:rPr>
          <w:rFonts w:ascii="Times New Roman" w:hAnsi="Times New Roman" w:cs="Times New Roman"/>
          <w:b/>
          <w:bCs/>
          <w:color w:val="000000"/>
        </w:rPr>
        <w:t>D</w:t>
      </w:r>
    </w:p>
    <w:p w:rsidR="009E31B0" w:rsidRDefault="009E31B0" w:rsidP="009E31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Ndei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Mathira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Cooperative Society</w:t>
      </w:r>
    </w:p>
    <w:p w:rsidR="009E31B0" w:rsidRDefault="009E31B0" w:rsidP="009E31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Roper v Taylor’s Central Garages (Exeter) Ltd </w:t>
      </w:r>
      <w:r>
        <w:rPr>
          <w:rFonts w:ascii="Times New Roman" w:hAnsi="Times New Roman" w:cs="Times New Roman"/>
          <w:color w:val="000000"/>
        </w:rPr>
        <w:t>[1951] 2 TLR DC</w:t>
      </w:r>
    </w:p>
    <w:p w:rsidR="009E31B0" w:rsidRDefault="009E31B0" w:rsidP="009E31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Silayo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CRDB (1996) Ltd </w:t>
      </w:r>
      <w:r>
        <w:rPr>
          <w:rFonts w:ascii="Times New Roman" w:hAnsi="Times New Roman" w:cs="Times New Roman"/>
          <w:color w:val="000000"/>
        </w:rPr>
        <w:t xml:space="preserve">[2002] 1 EA 288 – </w:t>
      </w:r>
      <w:r>
        <w:rPr>
          <w:rFonts w:ascii="Times New Roman" w:hAnsi="Times New Roman" w:cs="Times New Roman"/>
          <w:b/>
          <w:bCs/>
          <w:color w:val="000000"/>
        </w:rPr>
        <w:t>D</w:t>
      </w:r>
    </w:p>
    <w:p w:rsidR="009E31B0" w:rsidRDefault="009E31B0" w:rsidP="009E31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Standard Chartered Bank Ltd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Akello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[1979] KLR 89 – </w:t>
      </w:r>
      <w:r>
        <w:rPr>
          <w:rFonts w:ascii="Times New Roman" w:hAnsi="Times New Roman" w:cs="Times New Roman"/>
          <w:b/>
          <w:bCs/>
          <w:color w:val="000000"/>
        </w:rPr>
        <w:t>D</w:t>
      </w:r>
    </w:p>
    <w:p w:rsidR="009E31B0" w:rsidRDefault="009E31B0" w:rsidP="009E31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</w:rPr>
      </w:pPr>
      <w:r>
        <w:rPr>
          <w:rFonts w:ascii="Times New Roman" w:hAnsi="Times New Roman" w:cs="Times New Roman"/>
          <w:b/>
          <w:bCs/>
          <w:i/>
          <w:iCs/>
          <w:color w:val="000000"/>
        </w:rPr>
        <w:lastRenderedPageBreak/>
        <w:t>United Kingdom</w:t>
      </w:r>
    </w:p>
    <w:p w:rsidR="009E31B0" w:rsidRDefault="009E31B0" w:rsidP="009E31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Al Underwood Ltd v Barclays Bank </w:t>
      </w:r>
      <w:r>
        <w:rPr>
          <w:rFonts w:ascii="Times New Roman" w:hAnsi="Times New Roman" w:cs="Times New Roman"/>
          <w:color w:val="000000"/>
        </w:rPr>
        <w:t>[1924] 1 KB 775</w:t>
      </w:r>
    </w:p>
    <w:p w:rsidR="009E31B0" w:rsidRDefault="009E31B0" w:rsidP="009E31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Barclays Bank Ltd v WJS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Simmson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Cooke (Southern) Ltd and another </w:t>
      </w:r>
      <w:r>
        <w:rPr>
          <w:rFonts w:ascii="Times New Roman" w:hAnsi="Times New Roman" w:cs="Times New Roman"/>
          <w:color w:val="000000"/>
        </w:rPr>
        <w:t xml:space="preserve">[1977] 1 QB 677 – </w:t>
      </w:r>
      <w:r>
        <w:rPr>
          <w:rFonts w:ascii="Times New Roman" w:hAnsi="Times New Roman" w:cs="Times New Roman"/>
          <w:b/>
          <w:bCs/>
          <w:color w:val="000000"/>
        </w:rPr>
        <w:t>APP</w:t>
      </w:r>
    </w:p>
    <w:p w:rsidR="009E31B0" w:rsidRDefault="009E31B0" w:rsidP="009E31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Canara Bank v Canara Sales Corporation and others </w:t>
      </w:r>
      <w:r>
        <w:rPr>
          <w:rFonts w:ascii="Times New Roman" w:hAnsi="Times New Roman" w:cs="Times New Roman"/>
          <w:color w:val="000000"/>
        </w:rPr>
        <w:t>[1988] LRC (</w:t>
      </w:r>
      <w:proofErr w:type="spellStart"/>
      <w:r>
        <w:rPr>
          <w:rFonts w:ascii="Times New Roman" w:hAnsi="Times New Roman" w:cs="Times New Roman"/>
          <w:color w:val="000000"/>
        </w:rPr>
        <w:t>Comm</w:t>
      </w:r>
      <w:proofErr w:type="spellEnd"/>
      <w:r>
        <w:rPr>
          <w:rFonts w:ascii="Times New Roman" w:hAnsi="Times New Roman" w:cs="Times New Roman"/>
          <w:color w:val="000000"/>
        </w:rPr>
        <w:t>)</w:t>
      </w:r>
    </w:p>
    <w:p w:rsidR="009E31B0" w:rsidRDefault="009E31B0" w:rsidP="009E31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Chase Manhattan Bank Ltd v Israel British Bank (London) Ltd </w:t>
      </w:r>
      <w:r>
        <w:rPr>
          <w:rFonts w:ascii="Times New Roman" w:hAnsi="Times New Roman" w:cs="Times New Roman"/>
          <w:color w:val="000000"/>
        </w:rPr>
        <w:t xml:space="preserve">[1981] </w:t>
      </w:r>
      <w:proofErr w:type="spellStart"/>
      <w:r>
        <w:rPr>
          <w:rFonts w:ascii="Times New Roman" w:hAnsi="Times New Roman" w:cs="Times New Roman"/>
          <w:color w:val="000000"/>
        </w:rPr>
        <w:t>Ch</w:t>
      </w:r>
      <w:proofErr w:type="spellEnd"/>
      <w:r>
        <w:rPr>
          <w:rFonts w:ascii="Times New Roman" w:hAnsi="Times New Roman" w:cs="Times New Roman"/>
          <w:color w:val="000000"/>
        </w:rPr>
        <w:t xml:space="preserve"> 105; [1979] 3 All ER 1028</w:t>
      </w:r>
    </w:p>
    <w:p w:rsidR="009E31B0" w:rsidRDefault="009E31B0" w:rsidP="009E31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Larner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LCC </w:t>
      </w:r>
      <w:r>
        <w:rPr>
          <w:rFonts w:ascii="Times New Roman" w:hAnsi="Times New Roman" w:cs="Times New Roman"/>
          <w:color w:val="000000"/>
        </w:rPr>
        <w:t xml:space="preserve">[1949] 2 KB 683 – </w:t>
      </w:r>
      <w:r>
        <w:rPr>
          <w:rFonts w:ascii="Times New Roman" w:hAnsi="Times New Roman" w:cs="Times New Roman"/>
          <w:b/>
          <w:bCs/>
          <w:color w:val="000000"/>
        </w:rPr>
        <w:t>A</w:t>
      </w:r>
    </w:p>
    <w:p w:rsidR="009E31B0" w:rsidRDefault="009E31B0" w:rsidP="009E31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National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Westminister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Bank Ltd v Barclays Bank International Ltd </w:t>
      </w:r>
      <w:r>
        <w:rPr>
          <w:rFonts w:ascii="Times New Roman" w:hAnsi="Times New Roman" w:cs="Times New Roman"/>
          <w:color w:val="000000"/>
        </w:rPr>
        <w:t>[1974] 3 All ER 834; [1975] QB 654</w:t>
      </w:r>
    </w:p>
    <w:p w:rsidR="009E31B0" w:rsidRDefault="009E31B0" w:rsidP="009E31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– </w:t>
      </w:r>
      <w:r>
        <w:rPr>
          <w:rFonts w:ascii="Times New Roman" w:hAnsi="Times New Roman" w:cs="Times New Roman"/>
          <w:b/>
          <w:bCs/>
          <w:color w:val="000000"/>
        </w:rPr>
        <w:t>A</w:t>
      </w:r>
    </w:p>
    <w:p w:rsidR="009E31B0" w:rsidRDefault="009E31B0" w:rsidP="009E31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Price v Neal </w:t>
      </w:r>
      <w:r>
        <w:rPr>
          <w:rFonts w:ascii="Times New Roman" w:hAnsi="Times New Roman" w:cs="Times New Roman"/>
          <w:color w:val="000000"/>
        </w:rPr>
        <w:t xml:space="preserve">[1962] 3 Burr 1354 – </w:t>
      </w:r>
      <w:r>
        <w:rPr>
          <w:rFonts w:ascii="Times New Roman" w:hAnsi="Times New Roman" w:cs="Times New Roman"/>
          <w:b/>
          <w:bCs/>
          <w:color w:val="000000"/>
        </w:rPr>
        <w:t>D</w:t>
      </w:r>
    </w:p>
    <w:p w:rsidR="009E31B0" w:rsidRDefault="009E31B0" w:rsidP="009E31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Re Jones Ltd v Waring and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Gillow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Ltd </w:t>
      </w:r>
      <w:r>
        <w:rPr>
          <w:rFonts w:ascii="Times New Roman" w:hAnsi="Times New Roman" w:cs="Times New Roman"/>
          <w:color w:val="000000"/>
        </w:rPr>
        <w:t xml:space="preserve">[1926] AC 670 – </w:t>
      </w:r>
      <w:r>
        <w:rPr>
          <w:rFonts w:ascii="Times New Roman" w:hAnsi="Times New Roman" w:cs="Times New Roman"/>
          <w:b/>
          <w:bCs/>
          <w:color w:val="000000"/>
        </w:rPr>
        <w:t>A</w:t>
      </w:r>
    </w:p>
    <w:p w:rsidR="0021070D" w:rsidRDefault="009E31B0" w:rsidP="009E31B0">
      <w:r>
        <w:rPr>
          <w:rFonts w:ascii="Times New Roman" w:hAnsi="Times New Roman" w:cs="Times New Roman"/>
          <w:i/>
          <w:iCs/>
          <w:color w:val="000000"/>
        </w:rPr>
        <w:t xml:space="preserve">Yeung and another v Hong Kong and Shanghai Banking Corporation </w:t>
      </w:r>
      <w:r>
        <w:rPr>
          <w:rFonts w:ascii="Times New Roman" w:hAnsi="Times New Roman" w:cs="Times New Roman"/>
          <w:color w:val="000000"/>
        </w:rPr>
        <w:t>[1980] 2 All ER 599</w:t>
      </w:r>
    </w:p>
    <w:sectPr w:rsidR="002107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1B0"/>
    <w:rsid w:val="0021070D"/>
    <w:rsid w:val="00405327"/>
    <w:rsid w:val="009E3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C187CF-A051-41FD-BE68-641416FBD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1304</Words>
  <Characters>7437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2</cp:revision>
  <dcterms:created xsi:type="dcterms:W3CDTF">2018-07-04T13:30:00Z</dcterms:created>
  <dcterms:modified xsi:type="dcterms:W3CDTF">2018-07-10T07:01:00Z</dcterms:modified>
</cp:coreProperties>
</file>