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Barkrania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Kagau</w:t>
      </w:r>
      <w:proofErr w:type="spellEnd"/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March 2004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21/02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 and Onyango </w:t>
      </w:r>
      <w:proofErr w:type="spellStart"/>
      <w:r>
        <w:rPr>
          <w:rFonts w:ascii="Times New Roman" w:hAnsi="Times New Roman" w:cs="Times New Roman"/>
          <w:color w:val="000000"/>
        </w:rPr>
        <w:t>Otieno</w:t>
      </w:r>
      <w:proofErr w:type="spellEnd"/>
      <w:r>
        <w:rPr>
          <w:rFonts w:ascii="Times New Roman" w:hAnsi="Times New Roman" w:cs="Times New Roman"/>
          <w:color w:val="000000"/>
        </w:rPr>
        <w:t xml:space="preserve"> AJ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Special damages – Assessment of damages – Future medical expenses – Loss of earnings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Whether evidence given of future medical expenses – Whether claim for loss of earnings remote or</w:t>
      </w:r>
    </w:p>
    <w:p w:rsidR="007F62DA" w:rsidRDefault="007F62DA" w:rsidP="002178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proximate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r>
        <w:rPr>
          <w:rFonts w:ascii="Times New Roman" w:hAnsi="Times New Roman" w:cs="Times New Roman"/>
          <w:color w:val="000000"/>
        </w:rPr>
        <w:t>The Respondent sustained injuries in a road traffic accident due to the alleged negligence of the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appellants. He claimed general and special damages under various heads, including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400 000-00 for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future medical expenses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2 800 000-00 for loss of business earnings. Liability was entered by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at 80% against the appellants. The trial Judge after considering the submissions, awarded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120 000-00 for future medical expenses and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200 000-00 for loss of future earnings.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future medical expenses were in relation to surgical operations required to </w:t>
      </w:r>
      <w:proofErr w:type="spellStart"/>
      <w:r>
        <w:rPr>
          <w:rFonts w:ascii="Times New Roman" w:hAnsi="Times New Roman" w:cs="Times New Roman"/>
          <w:color w:val="000000"/>
        </w:rPr>
        <w:t>regraft</w:t>
      </w:r>
      <w:proofErr w:type="spellEnd"/>
      <w:r>
        <w:rPr>
          <w:rFonts w:ascii="Times New Roman" w:hAnsi="Times New Roman" w:cs="Times New Roman"/>
          <w:color w:val="000000"/>
        </w:rPr>
        <w:t xml:space="preserve"> the fracture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sites and to remove the plates and screws inserted to aid healing of the fracture injuries suffered in the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accident. The loss of future earnings was in respect to two computer contracts awarded to a company run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respondent which were allegedly cancelled due to his injury.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appealed against the two awards. They argued that the Judge ought to have awarded a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lesser sum for future medical expenses. They also argued that the claim for business loss should not have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allowed because the net loss from the value of two cancelled contracts was not disclosed and the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loss occurred to the company and not to the respondent.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trial court had properly considered the medical opinion that the respondent required further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surgery to improve his medical condition. Since the assessment of the quantum of damages was an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exercise of discretion by the trial court, the appellate court would not disturb the award unless it was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shown that the trial Judge proceeded on a wrong principle of law. </w:t>
      </w: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>[1981] KLR 349.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facts giving rise to the loss of business contracts were not strictly proved. Further, the loss of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was not suffered by the appellant personally, and no proximity between the accident and the loss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contracts had been established. The trial court had failed to investigate the issue of causation.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KCM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Thyssen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Wakisu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 Ltd </w:t>
      </w:r>
      <w:r>
        <w:rPr>
          <w:rFonts w:ascii="Times New Roman" w:hAnsi="Times New Roman" w:cs="Times New Roman"/>
          <w:color w:val="000000"/>
        </w:rPr>
        <w:t>[1960] EA 288 considered. Hence, the claim for consequential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business loss was not proved and no sum ought to be awarded.</w:t>
      </w:r>
    </w:p>
    <w:p w:rsidR="007F62DA" w:rsidRDefault="007F62DA" w:rsidP="00E37B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 in part. Award for future medical expenses upheld while award for business loss</w:t>
      </w:r>
      <w:r w:rsidR="002178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overturned.</w:t>
      </w:r>
    </w:p>
    <w:bookmarkEnd w:id="0"/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Butt v Khan </w:t>
      </w:r>
      <w:r>
        <w:rPr>
          <w:rFonts w:ascii="Times New Roman" w:hAnsi="Times New Roman" w:cs="Times New Roman"/>
          <w:color w:val="000000"/>
        </w:rPr>
        <w:t xml:space="preserve">[1981] KLR 349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Hahn v Singh </w:t>
      </w:r>
      <w:r>
        <w:rPr>
          <w:rFonts w:ascii="Times New Roman" w:hAnsi="Times New Roman" w:cs="Times New Roman"/>
          <w:color w:val="000000"/>
        </w:rPr>
        <w:t xml:space="preserve">[1985] KLR 716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KCM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Thyssen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Wakisu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Estate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Limited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[1960] EA 288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7F62DA" w:rsidRDefault="007F62DA" w:rsidP="007F62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E97396" w:rsidRDefault="007F62DA" w:rsidP="007F62DA">
      <w:r>
        <w:rPr>
          <w:rFonts w:ascii="Times New Roman" w:hAnsi="Times New Roman" w:cs="Times New Roman"/>
          <w:b/>
          <w:bCs/>
          <w:color w:val="000000"/>
        </w:rPr>
        <w:t xml:space="preserve">TUNOI, GITHINJI JJA AND ONYANGO OTIENO AJ: </w:t>
      </w:r>
      <w:r>
        <w:rPr>
          <w:rFonts w:ascii="Times New Roman" w:hAnsi="Times New Roman" w:cs="Times New Roman"/>
          <w:color w:val="000000"/>
        </w:rPr>
        <w:t>This appeal is only against the award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DA"/>
    <w:rsid w:val="002178F1"/>
    <w:rsid w:val="007F62DA"/>
    <w:rsid w:val="00E37B8E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3FC14-A71D-4ED3-9C9D-C712CF69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2018-07-03T13:21:00Z</dcterms:created>
  <dcterms:modified xsi:type="dcterms:W3CDTF">2018-07-10T11:01:00Z</dcterms:modified>
</cp:coreProperties>
</file>