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Behange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School Outfitters (U) Ltd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October 2000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53/99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color w:val="000000"/>
        </w:rPr>
        <w:t>Karugaba</w:t>
      </w:r>
      <w:proofErr w:type="spellEnd"/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Contract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Privity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contract – Parties agreeing on price – Part payment made – Party rejecting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balance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saying goods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under valued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Party suing for “true value” under contract – Whether court has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power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interfere with agreement.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Costs – Section 21(1) of the Civil Procedure Act (Chapter 65) – Court ordering each party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bear their 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costs – No reason given for order – Whether Court of Appeal may interfere with the</w:t>
      </w:r>
    </w:p>
    <w:p w:rsidR="00FD1B10" w:rsidRDefault="00FD1B10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on costs.</w:t>
      </w:r>
    </w:p>
    <w:p w:rsidR="00D619B2" w:rsidRDefault="00D619B2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FD1B10" w:rsidRDefault="00D619B2" w:rsidP="00D6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BERKO JA: </w:t>
      </w:r>
      <w:bookmarkStart w:id="0" w:name="_GoBack"/>
      <w:r>
        <w:rPr>
          <w:rFonts w:ascii="Times New Roman" w:hAnsi="Times New Roman" w:cs="Times New Roman"/>
          <w:color w:val="000000"/>
        </w:rPr>
        <w:t>The appeal arises from the decision of the High Court (</w:t>
      </w:r>
      <w:proofErr w:type="spellStart"/>
      <w:r>
        <w:rPr>
          <w:rFonts w:ascii="Times New Roman" w:hAnsi="Times New Roman" w:cs="Times New Roman"/>
          <w:color w:val="000000"/>
        </w:rPr>
        <w:t>Arach-Amoko</w:t>
      </w:r>
      <w:proofErr w:type="spellEnd"/>
      <w:r>
        <w:rPr>
          <w:rFonts w:ascii="Times New Roman" w:hAnsi="Times New Roman" w:cs="Times New Roman"/>
          <w:color w:val="000000"/>
        </w:rPr>
        <w:t xml:space="preserve"> J) given on 2 July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1998 in High Court Civil Suit number 750 of 1997. The brief facts are as follows: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School Outfitters (U) Limited, the Respondent, is a limited liability company engaged in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of tailoring school uniforms in its factory situated at Uganda House in which they had installed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industrial sewing machines. The managing director of the Company was one Monica </w:t>
      </w:r>
      <w:proofErr w:type="spellStart"/>
      <w:r>
        <w:rPr>
          <w:rFonts w:ascii="Times New Roman" w:hAnsi="Times New Roman" w:cs="Times New Roman"/>
          <w:color w:val="000000"/>
        </w:rPr>
        <w:t>Erapu</w:t>
      </w:r>
      <w:proofErr w:type="spellEnd"/>
      <w:r>
        <w:rPr>
          <w:rFonts w:ascii="Times New Roman" w:hAnsi="Times New Roman" w:cs="Times New Roman"/>
          <w:color w:val="000000"/>
        </w:rPr>
        <w:t>. On 11 July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1997 the said Monica sold to the Appellants a number of the company’s industrial sewing machines at an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agreed price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6 900 000. The Appellants paid a deposit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5 300 000 leaving a balance of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1 600 000. The sale agreement was reduced in writing and tendered in evidence as Exhibit Pl.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took possession of the industrial sewing machines. They in turn sold them to a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called Uniform Manufacturers and Distributors Uganda Ltd. The Appellants’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the purchase price was rejected by the company. It brought action against the Appellants for: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</w:t>
      </w:r>
      <w:r w:rsidR="00D619B2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declaration that the agreement of sale, Exhibit P1, was null and void;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</w:t>
      </w:r>
      <w:r w:rsidR="00D619B2">
        <w:rPr>
          <w:rFonts w:ascii="Times New Roman" w:hAnsi="Times New Roman"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 xml:space="preserve"> order for the return of the machines to it;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the alternative, an order compelling the Appellants to pay to it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which was said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the real value of the machines; and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(d) </w:t>
      </w:r>
      <w:r w:rsidR="00D619B2">
        <w:rPr>
          <w:rFonts w:ascii="Times New Roman" w:hAnsi="Times New Roman" w:cs="Times New Roman"/>
          <w:color w:val="000000"/>
        </w:rPr>
        <w:t>Costs</w:t>
      </w:r>
      <w:r>
        <w:rPr>
          <w:rFonts w:ascii="Times New Roman" w:hAnsi="Times New Roman" w:cs="Times New Roman"/>
          <w:color w:val="000000"/>
        </w:rPr>
        <w:t xml:space="preserve"> of the suit.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Appellants, in their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denied that the contract of sale was null and void.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They contended that the said Monica </w:t>
      </w:r>
      <w:proofErr w:type="spellStart"/>
      <w:r>
        <w:rPr>
          <w:rFonts w:ascii="Times New Roman" w:hAnsi="Times New Roman" w:cs="Times New Roman"/>
          <w:color w:val="000000"/>
        </w:rPr>
        <w:t>Erapu</w:t>
      </w:r>
      <w:proofErr w:type="spellEnd"/>
      <w:r>
        <w:rPr>
          <w:rFonts w:ascii="Times New Roman" w:hAnsi="Times New Roman" w:cs="Times New Roman"/>
          <w:color w:val="000000"/>
        </w:rPr>
        <w:t xml:space="preserve"> held herself out as the managing director of the company and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out that she had power to carry out and manage all the businesses of the company.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issues were joined for determination at the trial: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D619B2">
        <w:rPr>
          <w:rFonts w:ascii="Times New Roman" w:hAnsi="Times New Roman" w:cs="Times New Roman"/>
          <w:color w:val="000000"/>
        </w:rPr>
        <w:t>Whether</w:t>
      </w:r>
      <w:r>
        <w:rPr>
          <w:rFonts w:ascii="Times New Roman" w:hAnsi="Times New Roman" w:cs="Times New Roman"/>
          <w:color w:val="000000"/>
        </w:rPr>
        <w:t xml:space="preserve"> the managing director had no authority to sell, thereby rendering the agreement invalid;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if so, whether the Defendants had notice of the managing director’s lack of authority to sell; and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r w:rsidR="00D619B2">
        <w:rPr>
          <w:rFonts w:ascii="Times New Roman" w:hAnsi="Times New Roman" w:cs="Times New Roman"/>
          <w:color w:val="000000"/>
        </w:rPr>
        <w:t>What</w:t>
      </w:r>
      <w:r>
        <w:rPr>
          <w:rFonts w:ascii="Times New Roman" w:hAnsi="Times New Roman" w:cs="Times New Roman"/>
          <w:color w:val="000000"/>
        </w:rPr>
        <w:t xml:space="preserve"> are the remedies available to the </w:t>
      </w:r>
      <w:proofErr w:type="gramStart"/>
      <w:r>
        <w:rPr>
          <w:rFonts w:ascii="Times New Roman" w:hAnsi="Times New Roman" w:cs="Times New Roman"/>
          <w:color w:val="000000"/>
        </w:rPr>
        <w:t>parties.</w:t>
      </w:r>
      <w:proofErr w:type="gramEnd"/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first issue, the </w:t>
      </w:r>
      <w:r w:rsidR="00D619B2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found that the managing director had authority to sell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machines as she was held out as the person who had authority not only to manage the business of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but to sell the company’s properties. Consequently the second issue was answered in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negative. The Judge accordingly held that the sale agreement was valid and declined to grant the reliefs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prayed in (a) and (b). There has been no appeal against the said finding.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this stage one would have expected that the Learned trial Judge would dismiss the company’s claim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enter judgment in favour of the Appellants plus costs of the suit, but she did not. Instead, she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to consider the alternative prayer in (d) in which the company prayed that the Court should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the Appellants to pay to it the real value of the machines, which was said to be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Judge found that there was no evidence to prove the figure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and so she declined to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 the award. In my view that should have been the end of the matter. Surprisingly, the </w:t>
      </w:r>
      <w:r w:rsidR="00D619B2">
        <w:rPr>
          <w:rFonts w:ascii="Times New Roman" w:hAnsi="Times New Roman" w:cs="Times New Roman"/>
          <w:color w:val="000000"/>
        </w:rPr>
        <w:t xml:space="preserve">learned </w:t>
      </w:r>
      <w:r>
        <w:rPr>
          <w:rFonts w:ascii="Times New Roman" w:hAnsi="Times New Roman" w:cs="Times New Roman"/>
          <w:color w:val="000000"/>
        </w:rPr>
        <w:t xml:space="preserve">trial </w:t>
      </w:r>
      <w:r>
        <w:rPr>
          <w:rFonts w:ascii="Times New Roman" w:hAnsi="Times New Roman" w:cs="Times New Roman"/>
          <w:color w:val="000000"/>
        </w:rPr>
        <w:lastRenderedPageBreak/>
        <w:t>Judge directed herself that the only way to establish the actual value of the machines was to have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valued. She accordingly proceeded to make the following orders: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 w:rsidR="00D619B2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registrar was to appoint a valuer to value the machines within seven days after his appointment;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if the actual value of the machines exceeded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6,9 million then the Defendants should pay that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 less the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5 300 000 already paid within 30 days from date of the report;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 w:rsidR="00D619B2">
        <w:rPr>
          <w:rFonts w:ascii="Times New Roman" w:hAnsi="Times New Roman" w:cs="Times New Roman"/>
          <w:color w:val="000000"/>
        </w:rPr>
        <w:t>She</w:t>
      </w:r>
      <w:r>
        <w:rPr>
          <w:rFonts w:ascii="Times New Roman" w:hAnsi="Times New Roman" w:cs="Times New Roman"/>
          <w:color w:val="000000"/>
        </w:rPr>
        <w:t xml:space="preserve"> also awarded interest at the court’s rate on the value found by the valuer, the interest to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 30 days from date of the report till payment in full;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 w:rsidR="00D619B2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parties were to share the cost of the valuation equally; and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 w:rsidR="00D619B2">
        <w:rPr>
          <w:rFonts w:ascii="Times New Roman" w:hAnsi="Times New Roman" w:cs="Times New Roman"/>
          <w:color w:val="000000"/>
        </w:rPr>
        <w:t>Each</w:t>
      </w:r>
      <w:r>
        <w:rPr>
          <w:rFonts w:ascii="Times New Roman" w:hAnsi="Times New Roman" w:cs="Times New Roman"/>
          <w:color w:val="000000"/>
        </w:rPr>
        <w:t xml:space="preserve"> party was to bear its own costs.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orders are the subject of the appeal, on three grounds, namely, that:</w:t>
      </w:r>
    </w:p>
    <w:p w:rsidR="00D619B2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 Learned trial Judge erred in law and fact when she ordered for a fresh valuation of the sewing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machines, when there was no evidence that the price stated [in] the sale agreement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P1, did not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 the true value of the machines,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619B2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ii) the Learned trial Judge erred in law when she ordered for a fresh valuation of the sewing machines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thereby interfering with the terms of the contract amicably and willingly agreed upon by the parties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she had held that there was a valid contract of sale, and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misdirected herself when she ordered each party to bear its costs without giving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good reason for so ordering”.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one and two were argued together under a broad proposition that the Judge, having found that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of sale was valid and that the managing director had authority to sell the machines, ought not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interfered with the terms of the agreement by ordering fresh valuation of the machines. The price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fixed by the parties themselves. There is no allegation in the plaint that the company entered into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under duress or mistake. The company’s complaint was that the managing director had no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to sell the machines. It was submitted that since the Judge had found that the managing director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authority to sell and that the contract was valid, she ought to have dismissed the company’s suit.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think there is force in the argument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Nkuruziza</w:t>
      </w:r>
      <w:proofErr w:type="spellEnd"/>
      <w:r>
        <w:rPr>
          <w:rFonts w:ascii="Times New Roman" w:hAnsi="Times New Roman" w:cs="Times New Roman"/>
          <w:color w:val="000000"/>
        </w:rPr>
        <w:t>, learned counsel for the Appellants. One of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 principles in the law of contract is that the parties have freedom to fix the terms of their own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bargain. The courts do not concern themselves with the question whether “adequate” value has been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or whether the agreement is harsh or one-sided. The fact that one person pays “too much” or “too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little” for a thing may be evidence of fraud or mistake or it may induce the Court to imply or to hold that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has been frustrated. But it does not in itself affect the validity of the contract. Thus in the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fraud, duress, undue influence, mistake and misrepresentation the courts will enforce a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promise so long as some value for it has been given.</w:t>
      </w:r>
    </w:p>
    <w:bookmarkEnd w:id="0"/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in this case shows that the managing director agreed to sell the machines to the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Appellants at an agreed price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6 900 000. The Learned trial Judge found that the managing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had power to enter into the contract on behalf of the company and held that the contract was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 and binding on the company. Having so found the Judge had no business in law and in equity to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inquire into the adequacy of the purchase price agreed upon.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Campbell Discounts Company Limited v Bridge </w:t>
      </w:r>
      <w:r>
        <w:rPr>
          <w:rFonts w:ascii="Times New Roman" w:hAnsi="Times New Roman" w:cs="Times New Roman"/>
          <w:color w:val="000000"/>
        </w:rPr>
        <w:t>[1961] 2 All ER 97 Holroyd Pearce LJ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at page 103:</w:t>
      </w:r>
    </w:p>
    <w:p w:rsidR="00FD1B10" w:rsidRDefault="00D619B2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D1B10">
        <w:rPr>
          <w:rFonts w:ascii="Times New Roman" w:hAnsi="Times New Roman" w:cs="Times New Roman"/>
          <w:color w:val="000000"/>
          <w:sz w:val="20"/>
          <w:szCs w:val="20"/>
        </w:rPr>
        <w:t>“It would be a novel extension for the law to interfere on equitable grounds with ordinary contracts freely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D1B10">
        <w:rPr>
          <w:rFonts w:ascii="Times New Roman" w:hAnsi="Times New Roman" w:cs="Times New Roman"/>
          <w:color w:val="000000"/>
          <w:sz w:val="20"/>
          <w:szCs w:val="20"/>
        </w:rPr>
        <w:t>entered into by persons under no duress or mistake merely on the ground that in certain events it has turned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D1B10">
        <w:rPr>
          <w:rFonts w:ascii="Times New Roman" w:hAnsi="Times New Roman" w:cs="Times New Roman"/>
          <w:color w:val="000000"/>
          <w:sz w:val="20"/>
          <w:szCs w:val="20"/>
        </w:rPr>
        <w:t>out harshly for parties who subsequently wished or were compelled to by circumstances to abandon their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D1B10">
        <w:rPr>
          <w:rFonts w:ascii="Times New Roman" w:hAnsi="Times New Roman" w:cs="Times New Roman"/>
          <w:color w:val="000000"/>
          <w:sz w:val="20"/>
          <w:szCs w:val="20"/>
        </w:rPr>
        <w:t>contract”.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Harman LJ in the same case at page 103 also said: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“Similarly I rather deprecate the attempt to urge the Court on what are called equitable principle to dissolve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contracts which are thought to be harsh or which have turned out to be disadvantageous to one of the parties.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observation of Lord Nottingham C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Maynard v Mosely </w:t>
      </w:r>
      <w:r>
        <w:rPr>
          <w:rFonts w:ascii="Times New Roman" w:hAnsi="Times New Roman" w:cs="Times New Roman"/>
          <w:color w:val="000000"/>
          <w:sz w:val="20"/>
          <w:szCs w:val="20"/>
        </w:rPr>
        <w:t>[1676] 3 Swan at page 655 is still true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. . . the Chancery mends no man’s bargain and I do not therefore see any way to call in aid equity to mend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may be an unfortunate situation and one which, if it calls for remedy, calls for aid by the legislature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rather than by the judiciary”.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 the Learned trial Judge did not even call in aid equity or any rule of law when she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the valuation of the machines. On general principles the evidence in this case does not justify the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Court’s interference with the contractual rights of the parties. I am of the opinion that grounds one and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should succeed.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complaint in ground three is that the </w:t>
      </w:r>
      <w:r w:rsidR="00D619B2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erred in law in ordering each party to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 his or its own costs. It was contended that as the Appellants were successful at the trial, they should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awarded costs. The Judge did not give any reason for denying them costs.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considering the merit of the ground it is convenient to refer briefly to the law applicable.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21(1) of the Civil Procedure Act, while giving the court a wide discretion as to costs of a suit,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contains the following proviso: “Provided that costs of any action, cause or other matter or issue shall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the event unless the court or judge shall for good reason otherwise order”.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Devian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Manji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Duttani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Haridas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Kalidas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Dauda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[1949] 16 EACA 36, the Court of Appeal of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Eastern Africa held that a successful defendant can only be deprived of his costs when it is shown that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conduct, either prior to or during the course of the suit, has led to litigation which, but for his own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conduct, might have been averted. In that case, the following passage from the judgment of Lord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Atkinson in </w:t>
      </w:r>
      <w:r>
        <w:rPr>
          <w:rFonts w:ascii="Times New Roman" w:hAnsi="Times New Roman" w:cs="Times New Roman"/>
          <w:i/>
          <w:iCs/>
          <w:color w:val="000000"/>
        </w:rPr>
        <w:t xml:space="preserve">Donald Campbell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Pollak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[1927] AC 732 at 813 was applied: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well established that when the decision of such a matter as the right of a successful litigant to recover his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 is left to the discretion of the Judge who tried the case, that discretion is a judicial discretion, and if it be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its exercise must be based on facts . . . if, however, there be, in fact, some grounds to support the exercise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Judge of the discretion he purports to exercise, the question of the sufficiency of those grounds for this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purpose is entirely a matter for the Judge to decide, and the Court of Appeal would not interfere with his</w:t>
      </w:r>
      <w:r w:rsidR="00D619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discretion in that instance”.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Thus, where a trial court has exercised its discretion on costs, an appellate court should not interfere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 discretion has been exercised injudiciously or on wrong principles. Where it gives no reason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its decision the appellate court will interfere if it is satisfied that the order is wrong. It will also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interfere where reasons are given if it considers that those reasons do not constitute “good reason” within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of the rule.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Here the Judge having dismissed the Plaintiff/Respondent company’s suit against the Appellants,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departed from the rule that costs shall follow the event and did not award costs of the suit to the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Appellants. This was a clear departure from the rule for which no reason was given by the </w:t>
      </w:r>
      <w:r w:rsidR="00D619B2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Judge. With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great respect, I can find no ground for depriving the successful Defendants of their costs in this matter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 absence of good reason they are entitled to them. Ground three accordingly succeeds.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without regret, I would accordingly allow the appeal, set aside orders directing the registrar to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 a valuer to value the suit properties and all the consequential orders that followed.</w:t>
      </w:r>
    </w:p>
    <w:p w:rsidR="00FD1B10" w:rsidRDefault="00FD1B10" w:rsidP="00D80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dismiss the company’s suit against the Appellants and enter judgment for the Appellants with</w:t>
      </w:r>
      <w:r w:rsidR="00D619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here and below.</w:t>
      </w:r>
    </w:p>
    <w:p w:rsidR="003F18BF" w:rsidRDefault="00FD1B10" w:rsidP="00D800C7">
      <w:pPr>
        <w:jc w:val="both"/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10"/>
    <w:rsid w:val="003F18BF"/>
    <w:rsid w:val="00D619B2"/>
    <w:rsid w:val="00D800C7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98569-F326-4290-8999-979C1A3B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2018-07-05T11:18:00Z</dcterms:created>
  <dcterms:modified xsi:type="dcterms:W3CDTF">2018-07-10T11:27:00Z</dcterms:modified>
</cp:coreProperties>
</file>