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A0" w:rsidRDefault="005D34A0" w:rsidP="0000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Belgo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Holdings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Esmail</w:t>
      </w:r>
      <w:proofErr w:type="spellEnd"/>
    </w:p>
    <w:p w:rsidR="005D34A0" w:rsidRDefault="005D34A0" w:rsidP="0000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D34A0" w:rsidRDefault="005D34A0" w:rsidP="0000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July 2004</w:t>
      </w:r>
    </w:p>
    <w:p w:rsidR="005D34A0" w:rsidRDefault="005D34A0" w:rsidP="0000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244/04</w:t>
      </w:r>
    </w:p>
    <w:p w:rsidR="005D34A0" w:rsidRDefault="005D34A0" w:rsidP="0000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D34A0" w:rsidRDefault="005D34A0" w:rsidP="0000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D34A0" w:rsidRDefault="005D34A0" w:rsidP="00000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Appearing in court without practicing certificate – All proceedings therein invalid.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sought orders that the orders issued by the court on 30 April 2004 be recalled and that all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pleadings filed by the firm of K </w:t>
      </w:r>
      <w:proofErr w:type="spellStart"/>
      <w:r>
        <w:rPr>
          <w:rFonts w:ascii="Times New Roman" w:hAnsi="Times New Roman" w:cs="Times New Roman"/>
          <w:color w:val="000000"/>
        </w:rPr>
        <w:t>Getanda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 Advocates be struck out because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Getanda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proofErr w:type="gramStart"/>
      <w:r>
        <w:rPr>
          <w:rFonts w:ascii="Times New Roman" w:hAnsi="Times New Roman" w:cs="Times New Roman"/>
          <w:color w:val="000000"/>
        </w:rPr>
        <w:t>,advocate</w:t>
      </w:r>
      <w:proofErr w:type="gramEnd"/>
      <w:r>
        <w:rPr>
          <w:rFonts w:ascii="Times New Roman" w:hAnsi="Times New Roman" w:cs="Times New Roman"/>
          <w:color w:val="000000"/>
        </w:rPr>
        <w:t>, had no practicing certificate at all material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times. Counsel for the firm of K </w:t>
      </w:r>
      <w:proofErr w:type="spellStart"/>
      <w:r>
        <w:rPr>
          <w:rFonts w:ascii="Times New Roman" w:hAnsi="Times New Roman" w:cs="Times New Roman"/>
          <w:color w:val="000000"/>
        </w:rPr>
        <w:t>Getanda</w:t>
      </w:r>
      <w:proofErr w:type="spellEnd"/>
      <w:r>
        <w:rPr>
          <w:rFonts w:ascii="Times New Roman" w:hAnsi="Times New Roman" w:cs="Times New Roman"/>
          <w:color w:val="000000"/>
        </w:rPr>
        <w:t xml:space="preserve"> and Co Advocates opposed the application on the grounds that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since there was a stay order as regards proceedings in the suit, it was </w:t>
      </w:r>
      <w:proofErr w:type="spellStart"/>
      <w:r>
        <w:rPr>
          <w:rFonts w:ascii="Times New Roman" w:hAnsi="Times New Roman" w:cs="Times New Roman"/>
          <w:color w:val="000000"/>
        </w:rPr>
        <w:t>mischevious</w:t>
      </w:r>
      <w:proofErr w:type="spellEnd"/>
      <w:r>
        <w:rPr>
          <w:rFonts w:ascii="Times New Roman" w:hAnsi="Times New Roman" w:cs="Times New Roman"/>
          <w:color w:val="000000"/>
        </w:rPr>
        <w:t xml:space="preserve"> of the applicant to file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before court. Secondly, that if the applicant was unhappy with the order of stay, he ought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sought a review thereof and not to file fresh matters as he had done and, thirdly, that the court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in the circumstances of the case recall its orders in the manner suggested by the applicant.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When the Advocates Act set out in </w:t>
      </w:r>
      <w:r>
        <w:rPr>
          <w:rFonts w:ascii="Times New Roman" w:hAnsi="Times New Roman" w:cs="Times New Roman"/>
          <w:i/>
          <w:iCs/>
          <w:color w:val="000000"/>
        </w:rPr>
        <w:t xml:space="preserve">extensor </w:t>
      </w:r>
      <w:r>
        <w:rPr>
          <w:rFonts w:ascii="Times New Roman" w:hAnsi="Times New Roman" w:cs="Times New Roman"/>
          <w:color w:val="000000"/>
        </w:rPr>
        <w:t>the steps to be taken by a person wishing to practice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discipline of law, there was good reason for that, namely, that no quack can pretend to practice law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those who are indeed qualified renew their commitment and adherence to their oath of office every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person does not meet any of the conditions, precedent set out in section 9 of the Advocates Act,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person is, thereby, rendered an unqualified person to practice law.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an advocate failed to take out a practicing certificate, the matter was no longer a mistake on his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but in fact, it deprives him of any capacity to sue as an agent of any litigant under the provisions of</w:t>
      </w:r>
    </w:p>
    <w:p w:rsidR="005D34A0" w:rsidRDefault="00000C91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5D34A0">
        <w:rPr>
          <w:rFonts w:ascii="Times New Roman" w:hAnsi="Times New Roman" w:cs="Times New Roman"/>
          <w:color w:val="000000"/>
        </w:rPr>
        <w:t xml:space="preserve">Civil Procedure Rules – </w:t>
      </w:r>
      <w:proofErr w:type="spellStart"/>
      <w:r w:rsidR="005D34A0">
        <w:rPr>
          <w:rFonts w:ascii="Times New Roman" w:hAnsi="Times New Roman" w:cs="Times New Roman"/>
          <w:i/>
          <w:iCs/>
          <w:color w:val="000000"/>
        </w:rPr>
        <w:t>Prashilee</w:t>
      </w:r>
      <w:proofErr w:type="spellEnd"/>
      <w:r w:rsidR="005D34A0">
        <w:rPr>
          <w:rFonts w:ascii="Times New Roman" w:hAnsi="Times New Roman" w:cs="Times New Roman"/>
          <w:i/>
          <w:iCs/>
          <w:color w:val="000000"/>
        </w:rPr>
        <w:t xml:space="preserve"> Ltd v </w:t>
      </w:r>
      <w:proofErr w:type="spellStart"/>
      <w:r w:rsidR="005D34A0">
        <w:rPr>
          <w:rFonts w:ascii="Times New Roman" w:hAnsi="Times New Roman" w:cs="Times New Roman"/>
          <w:i/>
          <w:iCs/>
          <w:color w:val="000000"/>
        </w:rPr>
        <w:t>Rabai</w:t>
      </w:r>
      <w:proofErr w:type="spellEnd"/>
      <w:r w:rsidR="005D34A0">
        <w:rPr>
          <w:rFonts w:ascii="Times New Roman" w:hAnsi="Times New Roman" w:cs="Times New Roman"/>
          <w:i/>
          <w:iCs/>
          <w:color w:val="000000"/>
        </w:rPr>
        <w:t xml:space="preserve"> Road Estate Ltd </w:t>
      </w:r>
      <w:r w:rsidR="005D34A0">
        <w:rPr>
          <w:rFonts w:ascii="Times New Roman" w:hAnsi="Times New Roman" w:cs="Times New Roman"/>
          <w:color w:val="000000"/>
        </w:rPr>
        <w:t>High Court civil case number 2336 of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1994 adopted;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Njagi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[2001] EA 167 distinguished.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 criminal offence to practice law without a practicing certificate.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does not matter that a party may suffer the effect of striking out its pleadings because of its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actions. When an offence is committed; when contempt of court is committed; when statute is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breached, the law must take its full course and the injured party has a remedy against the advocate whose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caused the injury to it.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there is an apparent contempt of court, the earlier orders can be recalled even if no party so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intention of the Legislature must be looked at in interpreting law and where the intention is clear,</w:t>
      </w:r>
      <w:r w:rsidR="00000C9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effect must be given to it – </w:t>
      </w:r>
      <w:r>
        <w:rPr>
          <w:rFonts w:ascii="Times New Roman" w:hAnsi="Times New Roman" w:cs="Times New Roman"/>
          <w:i/>
          <w:iCs/>
          <w:color w:val="000000"/>
        </w:rPr>
        <w:t xml:space="preserve">Dubai Bank Kenya Ltd v Cane Cars Africa Ltd </w:t>
      </w:r>
      <w:r>
        <w:rPr>
          <w:rFonts w:ascii="Times New Roman" w:hAnsi="Times New Roman" w:cs="Times New Roman"/>
          <w:color w:val="000000"/>
        </w:rPr>
        <w:t>High Court civil case number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68 of 2003 followed.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allowed with costs.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Dubai Bank Kenya Limited v Cane Cars Africa Ltd </w:t>
      </w:r>
      <w:r>
        <w:rPr>
          <w:rFonts w:ascii="Times New Roman" w:hAnsi="Times New Roman" w:cs="Times New Roman"/>
          <w:color w:val="000000"/>
        </w:rPr>
        <w:t xml:space="preserve">High Court civil case number 68 of 2003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Njagi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[2001] 1 EA 167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Koome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[2001] 1 EA 175</w:t>
      </w:r>
    </w:p>
    <w:p w:rsidR="005D34A0" w:rsidRDefault="005D34A0" w:rsidP="005D3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Prashilee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Rabai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Road Estate Ltd </w:t>
      </w:r>
      <w:r>
        <w:rPr>
          <w:rFonts w:ascii="Times New Roman" w:hAnsi="Times New Roman" w:cs="Times New Roman"/>
          <w:color w:val="000000"/>
        </w:rPr>
        <w:t xml:space="preserve">High Court civil case number 2336 of 1994 – </w:t>
      </w:r>
      <w:r>
        <w:rPr>
          <w:rFonts w:ascii="Times New Roman" w:hAnsi="Times New Roman" w:cs="Times New Roman"/>
          <w:b/>
          <w:bCs/>
          <w:color w:val="000000"/>
        </w:rPr>
        <w:t>A</w:t>
      </w:r>
      <w:bookmarkStart w:id="0" w:name="_GoBack"/>
      <w:bookmarkEnd w:id="0"/>
    </w:p>
    <w:sectPr w:rsidR="005D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A0"/>
    <w:rsid w:val="00000C91"/>
    <w:rsid w:val="005D34A0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A1BB6-1095-4950-B402-20F28CB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2018-07-04T18:43:00Z</dcterms:created>
  <dcterms:modified xsi:type="dcterms:W3CDTF">2018-07-10T11:57:00Z</dcterms:modified>
</cp:coreProperties>
</file>