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5DA" w:rsidRDefault="009315DA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Besigye v Electoral Commission and another</w:t>
      </w:r>
    </w:p>
    <w:p w:rsidR="009315DA" w:rsidRDefault="009315DA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Supreme Court of Uganda at Mengo</w:t>
      </w:r>
    </w:p>
    <w:p w:rsidR="009315DA" w:rsidRDefault="009315DA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April 2006</w:t>
      </w:r>
    </w:p>
    <w:p w:rsidR="009315DA" w:rsidRDefault="009315DA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1/06</w:t>
      </w:r>
    </w:p>
    <w:p w:rsidR="009315DA" w:rsidRDefault="009315DA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Odoki CJ, Oder, Tsekooko, Karokora, Mulenga, Kanyeihamba</w:t>
      </w:r>
    </w:p>
    <w:p w:rsidR="009315DA" w:rsidRDefault="009315DA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Katureebe JJSC</w:t>
      </w:r>
    </w:p>
    <w:p w:rsidR="009315DA" w:rsidRDefault="009315DA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9315DA" w:rsidRDefault="009315DA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Kibet</w:t>
      </w:r>
    </w:p>
    <w:p w:rsidR="009315DA" w:rsidRDefault="009315DA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Annulment of presidential elections – Whether section 59(6)(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>) of the</w:t>
      </w:r>
    </w:p>
    <w:p w:rsidR="009315DA" w:rsidRDefault="009315DA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Presidential Elections Act was inconsistent with article 104(1) of the Constitution – Constitution –</w:t>
      </w:r>
    </w:p>
    <w:p w:rsidR="009315DA" w:rsidRDefault="009315DA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Article 104(1) – Section 59(6)(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>) – Presidential Elections Act.</w:t>
      </w:r>
    </w:p>
    <w:p w:rsidR="009315DA" w:rsidRDefault="009315DA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Election petition – Conduct of presidential elections – Electoral irregularities – Whether the</w:t>
      </w:r>
    </w:p>
    <w:p w:rsidR="009315DA" w:rsidRDefault="009315DA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provisions of the Presidential Elections Act, the Electoral Commission Act and the Constitution had been</w:t>
      </w:r>
    </w:p>
    <w:p w:rsidR="009315DA" w:rsidRDefault="009315DA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complied with – Whether failure to comply with provisions affected the results – Constitution –</w:t>
      </w:r>
    </w:p>
    <w:p w:rsidR="009315DA" w:rsidRDefault="009315DA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Presidential Elections Act 2006 – Electoral Commission Act.</w:t>
      </w:r>
    </w:p>
    <w:p w:rsidR="009315DA" w:rsidRDefault="00BB64CF" w:rsidP="00BB6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Odoki CJ, Oder, Tsekooko, Karokora, Mulenga, Kanyeihamba and Katureebe JJSC: </w:t>
      </w:r>
      <w:r>
        <w:rPr>
          <w:rFonts w:ascii="Times New Roman" w:hAnsi="Times New Roman" w:cs="Times New Roman"/>
          <w:color w:val="000000"/>
        </w:rPr>
        <w:t>The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Petitioner Rtd Col Dr Kizza Besigye, who was one of the candidates in the Presidential Election held on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23 February 2006, petitioned the Supreme Court, seeking orders that the second respondent, Yoweri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Kaguta Museveni, declared elected President by the first respondent, the Electoral Commission, was not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validly elected, that a rerun be held or that a recount be conducted.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25 February 2006, the first respondent declared the second respondent to have obtained 59.28%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petitioner, who was the runner up, to have obtained 37.36% of the valid votes cast. Accordingly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respondent having obtained more than 50% of the total valid votes cast, was declared by the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respondent duly elected President.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presidential election was conducted under a multi-party system following a national referendum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approved change from a movement political system, under which the country had been governed for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past twenty years, to a multi-party political system. The petitioner ran for the election as the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candidate for the Forum for Democratic Change (“FDC”), while the second respondent ran for the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election as the candidate for the National Resistance Movement (“NRM”).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petition was lodged in the registry of this Court on 7 March 2006 and the hearing of the petition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commenced on 22 March 2006 and ended on 30 March 2006, being 30 days of the filing of the petition,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accordance with article 104 of the Constitution and section 59 of the Presidential Elections Act 2006.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his petition, the petitioner made complaints against the respondents. Against the first respondent,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complained that it did not validly declare the results in accordance with the Constitution, and the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Presidential Elections Act; that the election was conducted in contravention of the provisions of the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Constitution, Electoral Commission Act and the Presidential Elections Act; and that the provisions of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59(6)</w:t>
      </w:r>
      <w:r>
        <w:rPr>
          <w:rFonts w:ascii="Times New Roman" w:hAnsi="Times New Roman" w:cs="Times New Roman"/>
          <w:i/>
          <w:iCs/>
          <w:color w:val="000000"/>
        </w:rPr>
        <w:t xml:space="preserve">(a) </w:t>
      </w:r>
      <w:r>
        <w:rPr>
          <w:rFonts w:ascii="Times New Roman" w:hAnsi="Times New Roman" w:cs="Times New Roman"/>
          <w:color w:val="000000"/>
        </w:rPr>
        <w:t>of the Presidential Elections Act are contrary to the provisions of article 104(1) of the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alternative the petitioner contended that the election was invalid on the ground that it was not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conducted in accordance with the principles laid down in the Presidential Elections Act, and that the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non-compliance affected the results in a substantial manner.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petitioner complained further that the entire electoral process in the 2006 Presidential Elections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beginning with the campaign period up to polling day was characterised by acts of intimidation, lack of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and transparency, unfairness and violence and the commission of numerous offences and illegal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practices, contrary to the provisions of the Presidential Elections Act, the Electoral Commission Act, and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Constitution. Among the specific complaints are: disenfranchisement of voters by deleting their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names, allowing multiple voting and vote stuffing, failure to cancel results at polling stations where gross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malpractices took place, failure to declare results in accordance with the law, and failure to take measures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ensure that the entire electoral process was conducted under conditions of freedom and fairness.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The petitioner alleged in the petition that the second respondent personally committed several illegal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practices and offences while campaigning. He complained that the second respondent, used words or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statements which were malicious, made statements containing secretarian words or innuendos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petitioner and his party, made abusive, insulting and derogatory statements against the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petitioner, FDC or other candidates; made exaggerations of the petitioner’s period of service in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Government and the reason why he was moved from several portfolios; used derisive or mudslinging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against the petitioner; used defamatory or insulting words; knowingly or recklessly made false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statements at a rally that FDC had frustrated efforts to build another dam, that the petitioner was in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alliance with Kony and PRA and other terrorists, and that the petitioner was an opportunist and a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deserter.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petitioner further contended that the second respondent committed acts of bribery of the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electorate by his agents with his knowledge and consent or approval, just before or during the elections,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attempting and interfering with the free exercise of the franchise of voters, and by agents procuring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votes of individuals by giving out tarpaulins, saucepans, water containers, salt, sugar and other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beverages, and making promises of giving such beverages.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their answers to the petition both the first respondent and the second respondent denied the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allegations made in the petition against them.</w:t>
      </w:r>
      <w:r w:rsidR="00BB64CF">
        <w:rPr>
          <w:rFonts w:ascii="Times New Roman" w:hAnsi="Times New Roman" w:cs="Times New Roman"/>
          <w:color w:val="000000"/>
        </w:rPr>
        <w:t xml:space="preserve"> 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hearing of the petition, the petitioner was represented by a team of lawyers led by Mr Wandera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Ogalo </w:t>
      </w:r>
      <w:r>
        <w:rPr>
          <w:rFonts w:ascii="Times New Roman" w:hAnsi="Times New Roman" w:cs="Times New Roman"/>
          <w:color w:val="000000"/>
        </w:rPr>
        <w:t xml:space="preserve">and Mr John </w:t>
      </w:r>
      <w:r>
        <w:rPr>
          <w:rFonts w:ascii="Times New Roman" w:hAnsi="Times New Roman" w:cs="Times New Roman"/>
          <w:i/>
          <w:iCs/>
          <w:color w:val="000000"/>
        </w:rPr>
        <w:t xml:space="preserve">Matovu. </w:t>
      </w:r>
      <w:r>
        <w:rPr>
          <w:rFonts w:ascii="Times New Roman" w:hAnsi="Times New Roman" w:cs="Times New Roman"/>
          <w:color w:val="000000"/>
        </w:rPr>
        <w:t>The first respondent was represented by a team of lawyers led by the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Solicitor General Mr L </w:t>
      </w:r>
      <w:r>
        <w:rPr>
          <w:rFonts w:ascii="Times New Roman" w:hAnsi="Times New Roman" w:cs="Times New Roman"/>
          <w:i/>
          <w:iCs/>
          <w:color w:val="000000"/>
        </w:rPr>
        <w:t>Tibaruha</w:t>
      </w:r>
      <w:r>
        <w:rPr>
          <w:rFonts w:ascii="Times New Roman" w:hAnsi="Times New Roman" w:cs="Times New Roman"/>
          <w:color w:val="000000"/>
        </w:rPr>
        <w:t xml:space="preserve">, Mr Peter </w:t>
      </w:r>
      <w:r>
        <w:rPr>
          <w:rFonts w:ascii="Times New Roman" w:hAnsi="Times New Roman" w:cs="Times New Roman"/>
          <w:i/>
          <w:iCs/>
          <w:color w:val="000000"/>
        </w:rPr>
        <w:t xml:space="preserve">Kabatsi </w:t>
      </w:r>
      <w:r>
        <w:rPr>
          <w:rFonts w:ascii="Times New Roman" w:hAnsi="Times New Roman" w:cs="Times New Roman"/>
          <w:color w:val="000000"/>
        </w:rPr>
        <w:t xml:space="preserve">and Mr J </w:t>
      </w:r>
      <w:r>
        <w:rPr>
          <w:rFonts w:ascii="Times New Roman" w:hAnsi="Times New Roman" w:cs="Times New Roman"/>
          <w:i/>
          <w:iCs/>
          <w:color w:val="000000"/>
        </w:rPr>
        <w:t>Matsiko</w:t>
      </w:r>
      <w:r>
        <w:rPr>
          <w:rFonts w:ascii="Times New Roman" w:hAnsi="Times New Roman" w:cs="Times New Roman"/>
          <w:color w:val="000000"/>
        </w:rPr>
        <w:t xml:space="preserve">. Dr J </w:t>
      </w:r>
      <w:r>
        <w:rPr>
          <w:rFonts w:ascii="Times New Roman" w:hAnsi="Times New Roman" w:cs="Times New Roman"/>
          <w:i/>
          <w:iCs/>
          <w:color w:val="000000"/>
        </w:rPr>
        <w:t xml:space="preserve">Byamugisha </w:t>
      </w:r>
      <w:r>
        <w:rPr>
          <w:rFonts w:ascii="Times New Roman" w:hAnsi="Times New Roman" w:cs="Times New Roman"/>
          <w:color w:val="000000"/>
        </w:rPr>
        <w:t>assisted by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Didas </w:t>
      </w:r>
      <w:r>
        <w:rPr>
          <w:rFonts w:ascii="Times New Roman" w:hAnsi="Times New Roman" w:cs="Times New Roman"/>
          <w:i/>
          <w:iCs/>
          <w:color w:val="000000"/>
        </w:rPr>
        <w:t>Nkurunziza</w:t>
      </w:r>
      <w:r>
        <w:rPr>
          <w:rFonts w:ascii="Times New Roman" w:hAnsi="Times New Roman" w:cs="Times New Roman"/>
          <w:color w:val="000000"/>
        </w:rPr>
        <w:t>, led the team of lawyers for the second respondent.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commencement of hearing the petition, counsel for the petitioner made an application to refer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Constitutional Court for interpretation, the question whether section 59(6)(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Presidential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Elections Act is inconsistent with article 104(1) of the Constitution. After hearing arguments from both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sides, we rejected the application and reserved reasons for our ruling to be given later in our judgment.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now give our reasons.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Firstly, the question as to the interpretation of the Constitution did not arise during the course of these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but prior to the proceedings as it was raised in the petition to this Court instead of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petitioning the Constitutional Court in the first instance. Therefore article 137(5)(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inapplicable to the application for a reference to the Constitutional Court. Secondly, these are special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concerning the election of the President which must be completed within 30 days of filing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petition. It would be difficult to hear and determine the petition in the Constitutional Court, deal with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possible appeal to this Court, and finally dispose of the petition within the stipulated period. Thirdly,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being an enquiry into the petition, we thought we could deal with the question in the course of our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our view, section 59(6)(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Presidential Elections Act is not inconsistent with article 104(1)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Constitution. The Constitution does not provide grounds for annulment of Presidential elections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expressly provides in article 104(9) that parliament shall make such laws as may be necessary for the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 of the article, including laws for grounds of annulment and rules of procedure. Parliament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implemented this article by enacting in section 59(6) of the Presidential Elections Act, the grounds for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annulment of presidential elections. We find nothing in section 59(6)(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which is inconsistent with article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104(1) of the Constitution.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the evidence adduced by the parties was through affidavits filed before or during the hearing of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petition, and read by counsel in the court. The petitioner filed about 200 affidavits while the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filed about 280 affidavits.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following issues were framed at the hearing of the petition: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(1) Whether there was non-compliance with the provisions of the Constitution, Presidential Elections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 and Electoral Commission Act, in the conduct of the 2006 Presidential Election.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(2) Whether the said Election was not conducted in accordance with principles laid down in the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Constitution, Presidential Elections Act and the Electoral Commission Act.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(3) Whether if either issue one or two or both are answered in the affirmative, such non-compliance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the said Laws and principles affected the results of the elections in a substantial manner.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(4) Whether any illegal practices or electoral offences alleged in the petition, were committed by the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respondent personally, or by his agents with his knowledge and consent or approval.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(5) Whether the petitioner is entitled to the reliefs sought.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hearing counsel, perusing the pleadings, affidavit evidence, and considering the law, we have each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findings on those issues and the court as a whole, has come to the conclusion on the outcome of the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petition. We are not in a position to give detailed reasons for our findings and decision due to constraints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time. We shall, therefore, announce the decision of the court, and give our individual detailed findings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reasons later.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decision of the court on the issues framed is as follows: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(1) On issue number one, we find that there was non-compliance with the provisions of the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Constitution, Presidential Elections Act and the Electoral Commission Act, in the conduct of the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2006 Presidential Elections, by the first respondent in the following instances:</w:t>
      </w:r>
    </w:p>
    <w:p w:rsidR="009315DA" w:rsidRDefault="00BB64CF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</w:t>
      </w:r>
      <w:r w:rsidR="009315DA">
        <w:rPr>
          <w:rFonts w:ascii="Times New Roman" w:hAnsi="Times New Roman" w:cs="Times New Roman"/>
          <w:color w:val="000000"/>
        </w:rPr>
        <w:t>) In disenfranchisement of voters by deleting their names from the voters register or denying</w:t>
      </w:r>
      <w:r>
        <w:rPr>
          <w:rFonts w:ascii="Times New Roman" w:hAnsi="Times New Roman" w:cs="Times New Roman"/>
          <w:color w:val="000000"/>
        </w:rPr>
        <w:t xml:space="preserve"> </w:t>
      </w:r>
      <w:r w:rsidR="009315DA">
        <w:rPr>
          <w:rFonts w:ascii="Times New Roman" w:hAnsi="Times New Roman" w:cs="Times New Roman"/>
          <w:color w:val="000000"/>
        </w:rPr>
        <w:t>them the right to vote.</w:t>
      </w:r>
    </w:p>
    <w:p w:rsidR="009315DA" w:rsidRDefault="00BB64CF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(b</w:t>
      </w:r>
      <w:r w:rsidR="009315DA">
        <w:rPr>
          <w:rFonts w:ascii="Times New Roman" w:hAnsi="Times New Roman" w:cs="Times New Roman"/>
          <w:color w:val="000000"/>
        </w:rPr>
        <w:t>) In the counting and tallying of results.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(2) On issue number two, we find that there was non-compliance with the principles laid down in the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Constitution, the Presidential Elections Act, and the Electoral Commission Act in the following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areas: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The principle of free and fair elections was compromised by bribery and intimidation or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violence in some areas of the country.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The principles of equal suffrage, transparency of the vote, and secrecy of the ballot were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undermined by multiple voting, and vote stuffing in some areas.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(3) On issue number three, by a majority decision of four to three, we find that it was not proved to the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satisfaction of the court, that the failure to comply with the provisions and principles, as found on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and second issues, affected the results of the presidential election in a substantial manner.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(4) On issue number four, by a majority decision of five to two, we find that no illegal practice or any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offence, was proved to the satisfaction of the court, to have been committed in connection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said election, by the second respondent, personally or by his agents with his knowledge and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 or approval.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result, by majority decision, it is ordered that the petition be, and it is hereby dismissed.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make no order as to costs.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are constrained to comment on a number of matters which have given us grave concern: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(1) The continued involvement of the security forces in the conduct of elections where they committed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acts of intimidation, violence and partisan harassment;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(2) The massive disenfranchisement of voters by deleting their names from the voters register, without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knowledge or being heard;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(3) The apparent partisan and partial conduct by some electoral officials;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(4) The apparent inadequacy of voter education.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also note with dismay the failure of the first respondent to avail to the court reports of returning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officers on the ground that they </w:t>
      </w:r>
      <w:r w:rsidR="00BB64CF">
        <w:rPr>
          <w:rFonts w:ascii="Times New Roman" w:hAnsi="Times New Roman" w:cs="Times New Roman"/>
          <w:color w:val="000000"/>
        </w:rPr>
        <w:t>w</w:t>
      </w:r>
      <w:r>
        <w:rPr>
          <w:rFonts w:ascii="Times New Roman" w:hAnsi="Times New Roman" w:cs="Times New Roman"/>
          <w:color w:val="000000"/>
        </w:rPr>
        <w:t>ere not available when it is mandatory for returning officers to transmit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to the first respondent.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found that certain provisions in the electoral law are contradictory and inadequate and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reviewed, such as sections 24(5) and 59(6)</w:t>
      </w:r>
      <w:r>
        <w:rPr>
          <w:rFonts w:ascii="Times New Roman" w:hAnsi="Times New Roman" w:cs="Times New Roman"/>
          <w:i/>
          <w:iCs/>
          <w:color w:val="000000"/>
        </w:rPr>
        <w:t xml:space="preserve">(a) </w:t>
      </w:r>
      <w:r>
        <w:rPr>
          <w:rFonts w:ascii="Times New Roman" w:hAnsi="Times New Roman" w:cs="Times New Roman"/>
          <w:color w:val="000000"/>
        </w:rPr>
        <w:t>of the Presidential Elections Act and section 25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Electoral Commission Act.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is of the considered opinion that all institutions and organisations concerned should</w:t>
      </w:r>
      <w:r w:rsidR="00BB64CF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urgently address these concerns in order to improve electoral democracy in the country.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Wandera </w:t>
      </w:r>
      <w:r>
        <w:rPr>
          <w:rFonts w:ascii="Times New Roman" w:hAnsi="Times New Roman" w:cs="Times New Roman"/>
          <w:i/>
          <w:iCs/>
          <w:color w:val="000000"/>
        </w:rPr>
        <w:t xml:space="preserve">Ogalo </w:t>
      </w:r>
      <w:r>
        <w:rPr>
          <w:rFonts w:ascii="Times New Roman" w:hAnsi="Times New Roman" w:cs="Times New Roman"/>
          <w:color w:val="000000"/>
        </w:rPr>
        <w:t xml:space="preserve">and Mr John </w:t>
      </w:r>
      <w:r>
        <w:rPr>
          <w:rFonts w:ascii="Times New Roman" w:hAnsi="Times New Roman" w:cs="Times New Roman"/>
          <w:i/>
          <w:iCs/>
          <w:color w:val="000000"/>
        </w:rPr>
        <w:t>Matovu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respondent: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L </w:t>
      </w:r>
      <w:r>
        <w:rPr>
          <w:rFonts w:ascii="Times New Roman" w:hAnsi="Times New Roman" w:cs="Times New Roman"/>
          <w:i/>
          <w:iCs/>
          <w:color w:val="000000"/>
        </w:rPr>
        <w:t>Tibaruha</w:t>
      </w:r>
      <w:r>
        <w:rPr>
          <w:rFonts w:ascii="Times New Roman" w:hAnsi="Times New Roman" w:cs="Times New Roman"/>
          <w:color w:val="000000"/>
        </w:rPr>
        <w:t xml:space="preserve">, Mr Peter </w:t>
      </w:r>
      <w:r>
        <w:rPr>
          <w:rFonts w:ascii="Times New Roman" w:hAnsi="Times New Roman" w:cs="Times New Roman"/>
          <w:i/>
          <w:iCs/>
          <w:color w:val="000000"/>
        </w:rPr>
        <w:t xml:space="preserve">Kabatsi </w:t>
      </w:r>
      <w:r>
        <w:rPr>
          <w:rFonts w:ascii="Times New Roman" w:hAnsi="Times New Roman" w:cs="Times New Roman"/>
          <w:color w:val="000000"/>
        </w:rPr>
        <w:t xml:space="preserve">and Mr J </w:t>
      </w:r>
      <w:r>
        <w:rPr>
          <w:rFonts w:ascii="Times New Roman" w:hAnsi="Times New Roman" w:cs="Times New Roman"/>
          <w:i/>
          <w:iCs/>
          <w:color w:val="000000"/>
        </w:rPr>
        <w:t>Matsiko</w:t>
      </w:r>
    </w:p>
    <w:p w:rsidR="009315DA" w:rsidRDefault="009315DA" w:rsidP="00931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respondent:</w:t>
      </w:r>
    </w:p>
    <w:p w:rsidR="00AB7022" w:rsidRDefault="009315DA" w:rsidP="009315DA">
      <w:r>
        <w:rPr>
          <w:rFonts w:ascii="Times New Roman" w:hAnsi="Times New Roman" w:cs="Times New Roman"/>
          <w:color w:val="000000"/>
        </w:rPr>
        <w:t xml:space="preserve">Dr J </w:t>
      </w:r>
      <w:r>
        <w:rPr>
          <w:rFonts w:ascii="Times New Roman" w:hAnsi="Times New Roman" w:cs="Times New Roman"/>
          <w:i/>
          <w:iCs/>
          <w:color w:val="000000"/>
        </w:rPr>
        <w:t xml:space="preserve">Byamugisha </w:t>
      </w:r>
      <w:r>
        <w:rPr>
          <w:rFonts w:ascii="Times New Roman" w:hAnsi="Times New Roman" w:cs="Times New Roman"/>
          <w:color w:val="000000"/>
        </w:rPr>
        <w:t xml:space="preserve">and Didas </w:t>
      </w:r>
      <w:r>
        <w:rPr>
          <w:rFonts w:ascii="Times New Roman" w:hAnsi="Times New Roman" w:cs="Times New Roman"/>
          <w:i/>
          <w:iCs/>
          <w:color w:val="000000"/>
        </w:rPr>
        <w:t>Nkurunziza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DA"/>
    <w:rsid w:val="009315DA"/>
    <w:rsid w:val="00AB7022"/>
    <w:rsid w:val="00B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5E71B-2102-4720-9339-D544C727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2018-07-05T05:54:00Z</dcterms:created>
  <dcterms:modified xsi:type="dcterms:W3CDTF">2018-07-10T12:59:00Z</dcterms:modified>
</cp:coreProperties>
</file>