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Beysne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Republic of Romania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9 January 1998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88/94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Chipeta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A Bade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State and diplomatic immunity – International law – Foreign sovereign state – Immunity from suit –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Agreement to lease part of diplo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matic premises to Plaintiffs – Plaintiffs evicted from premises – Action to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recover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damages – Whether Tanzania applies absolute or restrictive theory of diplomatic immunity –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the Defendants could claim immunity – Articles 22, 32(3), and 39(2) – Vienna Convention on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Diplomatic Relations 1961.</w:t>
      </w:r>
    </w:p>
    <w:p w:rsidR="000013BD" w:rsidRDefault="000013BD" w:rsidP="00001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10 June 1989, the Republic of Romania and the Second Plaintiff entered into a lease agreement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whereby the former leased to the latter a portion of its property, which was partly used as its Chancery,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for a period of 4 years 11 months at a monthly rent of US$ 1 400. The lease provided,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if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Plaintiffs failed to pay rent within 14 days after it was due, the Defendants could re-enter the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premises whereupon the lease would determine. The First Plaintiff, who was the managing director of the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Plaintiff, then went into occupation of the leased premises. Following the apparent breach of this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term by the Plaintiffs, the Second Defendant, who at the time was Romania’s </w:t>
      </w:r>
      <w:r>
        <w:rPr>
          <w:rFonts w:ascii="Times New Roman" w:hAnsi="Times New Roman" w:cs="Times New Roman"/>
          <w:i/>
          <w:iCs/>
          <w:color w:val="000000"/>
        </w:rPr>
        <w:t xml:space="preserve">Chargé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D’Affaires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was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acting under its instructions, allegedly removed the Plaintiffs’ properties worth US$ 100 000 and evicted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 from the premises.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Plaintiffs reported the matter to the police but no action was taken apparently because of the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Defendants’ diplomatic or state immunity. The Plaintiffs then filed suit against the Defendants claiming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damages. On learning of the suit, the Republic of Romania sent a </w:t>
      </w:r>
      <w:r>
        <w:rPr>
          <w:rFonts w:ascii="Times New Roman" w:hAnsi="Times New Roman" w:cs="Times New Roman"/>
          <w:i/>
          <w:iCs/>
          <w:color w:val="000000"/>
        </w:rPr>
        <w:t xml:space="preserve">note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verbale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Ministry of Foreign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Affairs and International Co-operation claiming state and diplomatic immunity in respect of the suit and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requesting the Ministry to inform the court to abstain from dealing with the matter on that ground. The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Ministry thereafter wrote two letters dated 12 April and 15 April 1996 to the court informing it that the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Defendants were not amenable to the jurisdiction of the court and that the court should accordingly desist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further dealing with the case. Counsel for the Plaintiffs submitted that in 1992 and again in 1995,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had initiated proceedings relating to the premises before a local tribunal in the form of the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 Regional Housing Tribunal thereby precluding them from raising the plea of state and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diplomatic immunity under article 32(3) of the Vienna Convention. The Plaintiffs also contended that the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Second Defendant no longer enjoyed diplomatic immunity since he had left the country and was no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longer an employee of the Romanian Ministry of External Affairs. Lastly, the Plaintiffs averred that as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dispute was purely commercial in nature, the plea of state and diplomatic immunity was not available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Defendants under the doctrine of restrictive diplomatic immunity.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hearing the Plaintiffs’ submissions, the court requested the opinion of the Attorney-General, in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capacity of </w:t>
      </w:r>
      <w:r>
        <w:rPr>
          <w:rFonts w:ascii="Times New Roman" w:hAnsi="Times New Roman" w:cs="Times New Roman"/>
          <w:i/>
          <w:iCs/>
          <w:color w:val="000000"/>
        </w:rPr>
        <w:t>amicus curiae</w:t>
      </w:r>
      <w:r>
        <w:rPr>
          <w:rFonts w:ascii="Times New Roman" w:hAnsi="Times New Roman" w:cs="Times New Roman"/>
          <w:color w:val="000000"/>
        </w:rPr>
        <w:t>, on the issue. The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Attorney-General submitted,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 xml:space="preserve">, that in view of the </w:t>
      </w:r>
      <w:r>
        <w:rPr>
          <w:rFonts w:ascii="Times New Roman" w:hAnsi="Times New Roman" w:cs="Times New Roman"/>
          <w:i/>
          <w:iCs/>
          <w:color w:val="000000"/>
        </w:rPr>
        <w:t xml:space="preserve">note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verbale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First Defendant and the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fact that at all material times the Second Defendant had been Romania’s diplomatic agent, the plea of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diplomatic immunity was available to the Second Defendant. The Attorney-General also submitted that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evidence to suggest that Tanzania had ever adopted the restrictive doctrine of diplomatic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 and that, in view of the Ministry’s letters, it was clear Tanzania still adhered to the absolute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doctrine.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Article 32(3) of the Vienna Convention was not applicable to this suit as it was the Plaintiffs, and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the Defendants, who had initiated the proceedings. Any acts done by the Defendants in proceedings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other tribunals were not relevant for the purposes of this suit.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At all material times the Second Defendant was a Romanian diplomat and,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  <w:r>
        <w:rPr>
          <w:rFonts w:ascii="Times New Roman" w:hAnsi="Times New Roman" w:cs="Times New Roman"/>
          <w:color w:val="000000"/>
        </w:rPr>
        <w:t>, enjoyed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diplomatic immunity from civil, criminal and administrative jurisdiction. Accordingly, article 39(2) of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Vienna Convention applied and he enjoyed immunity in relation to the acts he performed in the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exercise of his </w:t>
      </w:r>
      <w:r>
        <w:rPr>
          <w:rFonts w:ascii="Times New Roman" w:hAnsi="Times New Roman" w:cs="Times New Roman"/>
          <w:color w:val="000000"/>
        </w:rPr>
        <w:lastRenderedPageBreak/>
        <w:t>functions. The mere fact that he was no longer in the country did not end his immunity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and, in any case, the Republic of Romania had categorically stated that it would not waive his immunity.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absolute theory of state and diplomatic immunity provided that municipal courts would not, by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process, make a foreign sovereign a party to legal proceedings against its will whether the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proceedings involved process against its person or claims to recover specific property or damages; </w:t>
      </w:r>
      <w:r>
        <w:rPr>
          <w:rFonts w:ascii="Times New Roman" w:hAnsi="Times New Roman" w:cs="Times New Roman"/>
          <w:i/>
          <w:iCs/>
          <w:color w:val="000000"/>
        </w:rPr>
        <w:t>The</w:t>
      </w:r>
      <w:r w:rsidR="0096557E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Charkieh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[1873] LR 4 A and E 59 and </w:t>
      </w:r>
      <w:r>
        <w:rPr>
          <w:rFonts w:ascii="Times New Roman" w:hAnsi="Times New Roman" w:cs="Times New Roman"/>
          <w:i/>
          <w:iCs/>
          <w:color w:val="000000"/>
        </w:rPr>
        <w:t xml:space="preserve">The Cristina </w:t>
      </w:r>
      <w:r>
        <w:rPr>
          <w:rFonts w:ascii="Times New Roman" w:hAnsi="Times New Roman" w:cs="Times New Roman"/>
          <w:color w:val="000000"/>
        </w:rPr>
        <w:t>[1938] AC 485 approved. The restrictive theory on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other hand sought to differentiate between acts of the sovereign done in a public capacity and those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acts done for commercial, financial or professional purposes, and then to grant immunity for the former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withhold it in the case of the latter; </w:t>
      </w:r>
      <w:r>
        <w:rPr>
          <w:rFonts w:ascii="Times New Roman" w:hAnsi="Times New Roman" w:cs="Times New Roman"/>
          <w:i/>
          <w:iCs/>
          <w:color w:val="000000"/>
        </w:rPr>
        <w:t xml:space="preserve">Victory Transport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Comisaria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General </w:t>
      </w:r>
      <w:r>
        <w:rPr>
          <w:rFonts w:ascii="Times New Roman" w:hAnsi="Times New Roman" w:cs="Times New Roman"/>
          <w:color w:val="000000"/>
        </w:rPr>
        <w:t>336 Fed Rep (2a) 354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Trendtex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Trading Corp v Central Bank of Nigeria </w:t>
      </w:r>
      <w:r>
        <w:rPr>
          <w:rFonts w:ascii="Times New Roman" w:hAnsi="Times New Roman" w:cs="Times New Roman"/>
          <w:color w:val="000000"/>
        </w:rPr>
        <w:t>[1977] QB 529 approved.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Where the restrictive theory was applied, the issue before the courts was where to draw the line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public acts and commercial acts. In deciding which theory to apply, a court should be free to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its judicial discretion on the basis of authorities and circumstances where the government of the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receiving state took no stance in the matter. However, where the government of the receiving state took a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definite stand on whether it adhered to the absolute or restrictive theory of state and diplomatic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immunity, the courts would do well to defer to such a pronouncement. Applying that test to this case, the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Ministry had clearly stated that state and diplomatic immunity was available to the Defendants and, from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tone of the letters, it appeared that Tanzania still adhered to the absolute theory. Moreover, it was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clear that the suit premises were part of Romania’s mission in Tanzania and therefore inviolable under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article 22 of the Vienna Convention. The plea of state and diplomatic immunity would therefore be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upheld and the suit dismissed accordingly.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  <w:r w:rsidR="0096557E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Charkieh</w:t>
      </w:r>
      <w:proofErr w:type="spellEnd"/>
      <w:r>
        <w:rPr>
          <w:rFonts w:ascii="Times New Roman" w:hAnsi="Times New Roman" w:cs="Times New Roman"/>
          <w:color w:val="000000"/>
        </w:rPr>
        <w:t xml:space="preserve"> [1873] LR 4 A and E 59 – APP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Cristina [1938] AC 485 – APP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Trendtex</w:t>
      </w:r>
      <w:proofErr w:type="spellEnd"/>
      <w:r>
        <w:rPr>
          <w:rFonts w:ascii="Times New Roman" w:hAnsi="Times New Roman" w:cs="Times New Roman"/>
          <w:color w:val="000000"/>
        </w:rPr>
        <w:t xml:space="preserve"> Trading Corporation v Central Bank of Nigeria [1977] QB 529 – APP</w:t>
      </w:r>
    </w:p>
    <w:p w:rsidR="000013BD" w:rsidRDefault="000013BD" w:rsidP="009655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States of America</w:t>
      </w:r>
    </w:p>
    <w:p w:rsidR="002640CC" w:rsidRDefault="000013BD" w:rsidP="0096557E">
      <w:pPr>
        <w:jc w:val="both"/>
      </w:pPr>
      <w:r>
        <w:rPr>
          <w:rFonts w:ascii="Times New Roman" w:hAnsi="Times New Roman" w:cs="Times New Roman"/>
          <w:color w:val="000000"/>
        </w:rPr>
        <w:t xml:space="preserve">Victory </w:t>
      </w:r>
      <w:proofErr w:type="spellStart"/>
      <w:r>
        <w:rPr>
          <w:rFonts w:ascii="Times New Roman" w:hAnsi="Times New Roman" w:cs="Times New Roman"/>
          <w:color w:val="000000"/>
        </w:rPr>
        <w:t>Trasport</w:t>
      </w:r>
      <w:proofErr w:type="spellEnd"/>
      <w:r>
        <w:rPr>
          <w:rFonts w:ascii="Times New Roman" w:hAnsi="Times New Roman" w:cs="Times New Roman"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color w:val="000000"/>
        </w:rPr>
        <w:t>Comisaria</w:t>
      </w:r>
      <w:proofErr w:type="spellEnd"/>
      <w:r>
        <w:rPr>
          <w:rFonts w:ascii="Times New Roman" w:hAnsi="Times New Roman" w:cs="Times New Roman"/>
          <w:color w:val="000000"/>
        </w:rPr>
        <w:t xml:space="preserve"> General 336 Fed Rep (2a) 354 – APP</w:t>
      </w:r>
    </w:p>
    <w:sectPr w:rsidR="00264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3BD"/>
    <w:rsid w:val="000013BD"/>
    <w:rsid w:val="002640CC"/>
    <w:rsid w:val="0096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B9DC5A-22BE-4656-8221-F0A0D658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2018-07-05T10:01:00Z</dcterms:created>
  <dcterms:modified xsi:type="dcterms:W3CDTF">2018-07-10T13:03:00Z</dcterms:modified>
</cp:coreProperties>
</file>