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D2E" w:rsidRDefault="00316D2E" w:rsidP="00D43A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Beysne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Republic of Romania</w:t>
      </w:r>
    </w:p>
    <w:p w:rsidR="00316D2E" w:rsidRDefault="00316D2E" w:rsidP="00D43A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Tanzania at Dar-</w:t>
      </w:r>
      <w:proofErr w:type="spellStart"/>
      <w:r>
        <w:rPr>
          <w:rFonts w:ascii="Times New Roman" w:hAnsi="Times New Roman" w:cs="Times New Roman"/>
          <w:color w:val="000000"/>
        </w:rPr>
        <w:t>Es</w:t>
      </w:r>
      <w:proofErr w:type="spellEnd"/>
      <w:r>
        <w:rPr>
          <w:rFonts w:ascii="Times New Roman" w:hAnsi="Times New Roman" w:cs="Times New Roman"/>
          <w:color w:val="000000"/>
        </w:rPr>
        <w:t>-Salaam</w:t>
      </w:r>
    </w:p>
    <w:p w:rsidR="00316D2E" w:rsidRDefault="00316D2E" w:rsidP="00D43A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9 January 1998</w:t>
      </w:r>
    </w:p>
    <w:p w:rsidR="00316D2E" w:rsidRDefault="00316D2E" w:rsidP="00D43A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88/94</w:t>
      </w:r>
    </w:p>
    <w:p w:rsidR="00316D2E" w:rsidRDefault="00316D2E" w:rsidP="00D43A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Chipeta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316D2E" w:rsidRDefault="00316D2E" w:rsidP="00D43A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A Bade</w:t>
      </w:r>
    </w:p>
    <w:p w:rsidR="00316D2E" w:rsidRDefault="00316D2E" w:rsidP="00D43A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>H K Mutai</w:t>
      </w:r>
    </w:p>
    <w:p w:rsidR="00316D2E" w:rsidRDefault="00316D2E" w:rsidP="00D43A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State and diplomatic immunity – International law – Foreign sovereign state – Immunity from suit –</w:t>
      </w:r>
    </w:p>
    <w:p w:rsidR="00316D2E" w:rsidRDefault="00316D2E" w:rsidP="00D43A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Agreement to lease part of diplomatic premises to Plaintiffs – Plaintiffs evicted from premises – Action to</w:t>
      </w:r>
    </w:p>
    <w:p w:rsidR="00316D2E" w:rsidRDefault="00316D2E" w:rsidP="00D43A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recover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damages – Whether Tanzania applies absolute or restrictive theory of diplomatic immunity –</w:t>
      </w:r>
    </w:p>
    <w:p w:rsidR="00316D2E" w:rsidRDefault="00316D2E" w:rsidP="00D43A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the Defendants could claim immunity – Articles 22, 32(3), and 39(2) – Vienna Convention on</w:t>
      </w:r>
    </w:p>
    <w:p w:rsidR="00316D2E" w:rsidRDefault="00316D2E" w:rsidP="00D43A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Diplomatic Relations 1961.</w:t>
      </w:r>
    </w:p>
    <w:p w:rsidR="00316D2E" w:rsidRDefault="00D43A1B" w:rsidP="00D43A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RULING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CHIPETA J: </w:t>
      </w:r>
      <w:r>
        <w:rPr>
          <w:rFonts w:ascii="Times New Roman" w:hAnsi="Times New Roman" w:cs="Times New Roman"/>
          <w:color w:val="000000"/>
        </w:rPr>
        <w:t>The Plaintif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fs in this suit, namely, </w:t>
      </w:r>
      <w:proofErr w:type="spellStart"/>
      <w:r>
        <w:rPr>
          <w:rFonts w:ascii="Times New Roman" w:hAnsi="Times New Roman" w:cs="Times New Roman"/>
          <w:color w:val="000000"/>
        </w:rPr>
        <w:t>Surafel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Beyene</w:t>
      </w:r>
      <w:proofErr w:type="spellEnd"/>
      <w:r>
        <w:rPr>
          <w:rFonts w:ascii="Times New Roman" w:hAnsi="Times New Roman" w:cs="Times New Roman"/>
          <w:color w:val="000000"/>
        </w:rPr>
        <w:t>, said to be an Ethiopian national, and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Aduliu</w:t>
      </w:r>
      <w:proofErr w:type="spellEnd"/>
      <w:r>
        <w:rPr>
          <w:rFonts w:ascii="Times New Roman" w:hAnsi="Times New Roman" w:cs="Times New Roman"/>
          <w:color w:val="000000"/>
        </w:rPr>
        <w:t xml:space="preserve"> Zanzibar Ltd, have filed this suit against the Republic of Romania and Marin </w:t>
      </w:r>
      <w:proofErr w:type="spellStart"/>
      <w:r>
        <w:rPr>
          <w:rFonts w:ascii="Times New Roman" w:hAnsi="Times New Roman" w:cs="Times New Roman"/>
          <w:color w:val="000000"/>
        </w:rPr>
        <w:t>Ghetu</w:t>
      </w:r>
      <w:proofErr w:type="spellEnd"/>
      <w:r>
        <w:rPr>
          <w:rFonts w:ascii="Times New Roman" w:hAnsi="Times New Roman" w:cs="Times New Roman"/>
          <w:color w:val="000000"/>
        </w:rPr>
        <w:t>, claiming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damages arising from a tenancy agreement in respect of the property of the Republic of Romania situated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plot Number 11, Ocean Road, in Dar-</w:t>
      </w:r>
      <w:proofErr w:type="spellStart"/>
      <w:r>
        <w:rPr>
          <w:rFonts w:ascii="Times New Roman" w:hAnsi="Times New Roman" w:cs="Times New Roman"/>
          <w:color w:val="000000"/>
        </w:rPr>
        <w:t>es</w:t>
      </w:r>
      <w:proofErr w:type="spellEnd"/>
      <w:r>
        <w:rPr>
          <w:rFonts w:ascii="Times New Roman" w:hAnsi="Times New Roman" w:cs="Times New Roman"/>
          <w:color w:val="000000"/>
        </w:rPr>
        <w:t>-Salaam.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Defendants have pleaded state and diplomatic immunity in the suit. The Plaintiffs, through their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learned advocate,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EH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Mbuya</w:t>
      </w:r>
      <w:proofErr w:type="spellEnd"/>
      <w:r>
        <w:rPr>
          <w:rFonts w:ascii="Times New Roman" w:hAnsi="Times New Roman" w:cs="Times New Roman"/>
          <w:color w:val="000000"/>
        </w:rPr>
        <w:t xml:space="preserve">, have resisted the plea, and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Mbuya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has made submissions to the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effect that on the facts and circumstances of the case, the plea of state and diplomatic immunity is not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available to the Defendants. The Defendants filed no submissions but filed a copy of a </w:t>
      </w:r>
      <w:r>
        <w:rPr>
          <w:rFonts w:ascii="Times New Roman" w:hAnsi="Times New Roman" w:cs="Times New Roman"/>
          <w:i/>
          <w:iCs/>
          <w:color w:val="000000"/>
        </w:rPr>
        <w:t xml:space="preserve">note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verbale</w:t>
      </w:r>
      <w:proofErr w:type="spellEnd"/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written by the First Defendant to the Ministry of Foreign Affairs and International Co-operation of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Tanzania (hereinafter referred to as “the Ministry”). The copy of the </w:t>
      </w:r>
      <w:r>
        <w:rPr>
          <w:rFonts w:ascii="Times New Roman" w:hAnsi="Times New Roman" w:cs="Times New Roman"/>
          <w:i/>
          <w:iCs/>
          <w:color w:val="000000"/>
        </w:rPr>
        <w:t xml:space="preserve">note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verbale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received by the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Court in this suit.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After receiving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Mbuya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submissions, this Court (</w:t>
      </w:r>
      <w:proofErr w:type="spellStart"/>
      <w:r>
        <w:rPr>
          <w:rFonts w:ascii="Times New Roman" w:hAnsi="Times New Roman" w:cs="Times New Roman"/>
          <w:color w:val="000000"/>
        </w:rPr>
        <w:t>Kyando</w:t>
      </w:r>
      <w:proofErr w:type="spellEnd"/>
      <w:r>
        <w:rPr>
          <w:rFonts w:ascii="Times New Roman" w:hAnsi="Times New Roman" w:cs="Times New Roman"/>
          <w:color w:val="000000"/>
        </w:rPr>
        <w:t xml:space="preserve"> J) was of the view that the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Attorney-General should be heard in the matter as an </w:t>
      </w:r>
      <w:r>
        <w:rPr>
          <w:rFonts w:ascii="Times New Roman" w:hAnsi="Times New Roman" w:cs="Times New Roman"/>
          <w:i/>
          <w:iCs/>
          <w:color w:val="000000"/>
        </w:rPr>
        <w:t xml:space="preserve">amicus curiae. </w:t>
      </w:r>
      <w:r>
        <w:rPr>
          <w:rFonts w:ascii="Times New Roman" w:hAnsi="Times New Roman" w:cs="Times New Roman"/>
          <w:color w:val="000000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the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Attorney-General has filed written submissions on the matter as invited by this Court to do.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Before I proceed to deal with those submissions and arrive at a decision of this Court, I think it is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necessary to give a factual background of the matter, albeit briefly. From the contents of the plaint and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what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Mbuya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told the Court, it has come to light that on 10 June 1989, the First Defendant concluded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signed a lease agreement with the Second Plaintiff whose managing director was the First Plaintiff.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By that lease agreement, the First Defendant demised a part of the property on plot Number 11, Ocean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Road, described as Plot Number 5, for a period of four years and eleven months at a monthly rent of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US$.1 400. As per the terms of that lease agreement, the First Plaintiff went into occupation of the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demised premises and used it as his residence as managing director of the Second Plaintiff.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was an express term of the lease agreement on that failure by the Plaintiffs to pay rent 14 days next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after the rent was due, the Defendants were empowered at any time thereafter to re-enter into and upon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demised premises whereupon the term of the lease would cease and determine. Apparently the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Plaintiffs breached that term of the lease agreement, and so, the Second Defendant, who was by then the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Charge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D’Affaires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First Defendant, and acting on the instructions of the First Defendant, evicted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Plaintiffs from the demised premises and, it is alleged in the plaint, removed the Plaintiffs’ properties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worth US$ 100 000. The eviction was apparently done in the absence of the Plaintiffs. The Plaintiffs took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offence to that action by the Defendants and so reported the matter to the police, but because of the First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Defendant’s diplomatic or state immunity, no criminal proceedings were instituted against the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Defendants.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Mbuya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further informed the Court that in 1992, the First Defendant filed civil application number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489 of 1992 in Dar-</w:t>
      </w:r>
      <w:proofErr w:type="spellStart"/>
      <w:r>
        <w:rPr>
          <w:rFonts w:ascii="Times New Roman" w:hAnsi="Times New Roman" w:cs="Times New Roman"/>
          <w:color w:val="000000"/>
        </w:rPr>
        <w:t>es</w:t>
      </w:r>
      <w:proofErr w:type="spellEnd"/>
      <w:r>
        <w:rPr>
          <w:rFonts w:ascii="Times New Roman" w:hAnsi="Times New Roman" w:cs="Times New Roman"/>
          <w:color w:val="000000"/>
        </w:rPr>
        <w:t>-Salaam Regional Housing Tribunal seeking, among other remedies, the eviction of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First Plaintiff from the demised premises. In those proceedings, the First Plaintiff counterclaimed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special and general damages for forcible eviction and loss of his furniture and personal effects. That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application, however, was withdrawn at the instance of the First Defendant.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It is also said that after the present suit was filed, the First Defendant filed application number 102 of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1995 in Dar-</w:t>
      </w:r>
      <w:proofErr w:type="spellStart"/>
      <w:r>
        <w:rPr>
          <w:rFonts w:ascii="Times New Roman" w:hAnsi="Times New Roman" w:cs="Times New Roman"/>
          <w:color w:val="000000"/>
        </w:rPr>
        <w:t>es</w:t>
      </w:r>
      <w:proofErr w:type="spellEnd"/>
      <w:r>
        <w:rPr>
          <w:rFonts w:ascii="Times New Roman" w:hAnsi="Times New Roman" w:cs="Times New Roman"/>
          <w:color w:val="000000"/>
        </w:rPr>
        <w:t>-Salaam Regional Housing Tribunal seeking the same remedies as those sought in the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which had been withdrawn.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At the time this suit was filed, the second Defendant was no longer the </w:t>
      </w:r>
      <w:r>
        <w:rPr>
          <w:rFonts w:ascii="Times New Roman" w:hAnsi="Times New Roman" w:cs="Times New Roman"/>
          <w:i/>
          <w:iCs/>
          <w:color w:val="000000"/>
        </w:rPr>
        <w:t xml:space="preserve">Charge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D’Affaires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Republic of Romania in Tanzania and had in fact left Tanzania.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It is also relevant to note that the suit premises are within the premises of the </w:t>
      </w:r>
      <w:r>
        <w:rPr>
          <w:rFonts w:ascii="Times New Roman" w:hAnsi="Times New Roman" w:cs="Times New Roman"/>
          <w:i/>
          <w:iCs/>
          <w:color w:val="000000"/>
        </w:rPr>
        <w:t xml:space="preserve">Charge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D’Affaires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Republic of Romania in Tanzania.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On learning of the existence of the suit, the First Defendant sent a </w:t>
      </w:r>
      <w:r>
        <w:rPr>
          <w:rFonts w:ascii="Times New Roman" w:hAnsi="Times New Roman" w:cs="Times New Roman"/>
          <w:i/>
          <w:iCs/>
          <w:color w:val="000000"/>
        </w:rPr>
        <w:t xml:space="preserve">note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varbale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Ministry, as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pointed out above, protesting against the institution of this suit against the two Defendants and claimed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 and diplomatic immunity in respect of this suit. The First Defendant accordingly requested the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Ministry to inform this Court to abstain from dealing with this matter on that ground. In response to the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note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verbale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>the Ministry wrote two letters to this Court, reference numbers FAC/D.30/67 of 12 April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1996 and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FAC/D.30/67 of 15 April 1996, in which the Ministry informed the Court that the Defendants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not amenable to the jurisdiction of this Court by reason of state and diplomatic immunity and that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Court should accordingly desist from further dealing with the case.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From the very outset, I would like to express my sincere gratitude to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EH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Mbuya</w:t>
      </w:r>
      <w:proofErr w:type="spellEnd"/>
      <w:r>
        <w:rPr>
          <w:rFonts w:ascii="Times New Roman" w:hAnsi="Times New Roman" w:cs="Times New Roman"/>
          <w:color w:val="000000"/>
        </w:rPr>
        <w:t>, learned counsel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the Plaintiffs, and the </w:t>
      </w: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the Attorney-General for their lucid and powerful submissions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have been of great assistance to the Court in this matter.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Mbuya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objected to the plea of state and diplomatic immunity of the Defendants on three main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grounds. In the first place, he submitted that the Defendants’ actions in initiating proceedings in courts or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tribunals of this country in the two applications over the same subject matter meant that the Defendants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are now precluded from raising the plea of state and diplomatic immunity in this case in terms of article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32(3) of the Vienna Convention on Diplomatic Relations 1961 (hereinafter referred to as “the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Convention”).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Secondly,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Mbuya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as far as the Second Defendant was concerned, the plea of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diplomatic immunity was not available to him because at the time this suit was filed, the Second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 was no longer a diplomatic agent in Tanzania as he had left Tanzania, and was no longer an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employee of the Ministry of External Affairs of the Republic of Romania.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Thirdly,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Mbuya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the plea of state and diplomatic immunity was not available to the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two Defendants because the cause of action and subject matter of the suit arose out of, and related to, a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landlord and tenant relationship, which was a purely commercial transaction, and so, under the theory or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doctrine of restrictive diplomatic immunity, the Defendants are amenable to the jurisdiction of this Court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international law.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With regard to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Mbuya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first ground of objection, the </w:t>
      </w: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the Attorney-General submitted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as this suit is different from the applications referred to, and that as this Court, constituted by the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Constitution of this country, is different from these other tribunals, no inference should be drawn </w:t>
      </w:r>
      <w:r w:rsidR="00D43A1B">
        <w:rPr>
          <w:rFonts w:ascii="Times New Roman" w:hAnsi="Times New Roman" w:cs="Times New Roman"/>
          <w:color w:val="000000"/>
        </w:rPr>
        <w:t xml:space="preserve">from </w:t>
      </w:r>
      <w:r>
        <w:rPr>
          <w:rFonts w:ascii="Times New Roman" w:hAnsi="Times New Roman" w:cs="Times New Roman"/>
          <w:color w:val="000000"/>
        </w:rPr>
        <w:t>the acts of the Defendants in the other courts or tribunals; and that article 32(3) of the Convention cannot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invoked by the Plaintiffs because these instant proceedings were not initiated by the Defendants but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initiated by the Plaintiffs themselves.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With regard to the second point that the plea of diplomatic immunity is not available to the Second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Defendant because he had ceased to be a diplomatic agent in Tanzania and had left the country, the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Attorney-General submitted that in view of the </w:t>
      </w:r>
      <w:r>
        <w:rPr>
          <w:rFonts w:ascii="Times New Roman" w:hAnsi="Times New Roman" w:cs="Times New Roman"/>
          <w:i/>
          <w:iCs/>
          <w:color w:val="000000"/>
        </w:rPr>
        <w:t xml:space="preserve">note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verbale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First Defendant, the two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letters of the Ministry to this Court, and article 39(1) and (2) of the Convention, and further that as the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Second Defendant had at all material times been a diplomatic agent of the First Defendant, the plea of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diplomatic immunity is available to the Second Defendant in the absence of a waiver from the First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Defendant.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Turning to the third ground, the </w:t>
      </w: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the Attorney-General submitted, in effect, that in view of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fact that there was no evidence let alone a suggestion, that Tanzania, which is a common law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orientated country, has ever adopted the restrictive diplomatic theory, and in view of the two letters of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Ministry to this Court, it was clear that Tanzania still adheres to the absolute doctrine of diplomatic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immunity.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On the basis of those submissions, it was the opinion of the </w:t>
      </w: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the Attorney-General that this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suit be dismissed with costs to the Defendants.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Before I deal with the specifics, let me briefly discuss principles of international law, as far as they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can be identified, on the questions raised in this case, particularly with regard to the absolute and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restrictive theories of doctrines of diplomatic immunity.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From the authorities made available to me, there are, indeed, two schools of thought on the question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state and diplomatic immunity from civil suits, namely, the school of thought that advocates for the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absolute theory of state and diplomatic immunity, and that which advocates for the restrictive state and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diplomatic immunity in such cases.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doctrine of absolute state and diplomatic immunity theory is, I think, to be found in the case of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Charkieh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[1873] LR 4 A and E 59 in which Sir Robert Phillimore said: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“The object of international law … is not to work injustice, not to prevent the enforcement of a just demand,</w:t>
      </w:r>
      <w:r w:rsidR="00D43A1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but to substitute negotiations between governments, though they be dilatory and the issue distant and</w:t>
      </w:r>
      <w:r w:rsidR="00D43A1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uncertain, for the ordinary courts of justice in cases where such use would lessen the dignity or embarrass the</w:t>
      </w:r>
      <w:r w:rsidR="00D43A1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functions of the representatives of a foreign state”.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Lord Atkin stated the absolute theory of state and diplomatic immunity in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The Cristina </w:t>
      </w:r>
      <w:r>
        <w:rPr>
          <w:rFonts w:ascii="Times New Roman" w:hAnsi="Times New Roman" w:cs="Times New Roman"/>
          <w:color w:val="000000"/>
        </w:rPr>
        <w:t>[1938]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 485 at 490, in the following terms: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“[Municipal courts] will not implead a foreign sovereign, that is, they will not by their process make him</w:t>
      </w:r>
      <w:r w:rsidR="00D43A1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against his will a party to legal proceedings whether the proceedings involve process against his person or</w:t>
      </w:r>
      <w:r w:rsidR="00D43A1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seek to recover from him specific property or damages”.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restrictive theory of state and diplomatic immunity seeks to differentiate between acts of the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sovereign or head of state done in a public capacity </w:t>
      </w:r>
      <w:r>
        <w:rPr>
          <w:rFonts w:ascii="Times New Roman" w:hAnsi="Times New Roman" w:cs="Times New Roman"/>
          <w:i/>
          <w:iCs/>
          <w:color w:val="000000"/>
        </w:rPr>
        <w:t>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acta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jure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imperii</w:t>
      </w:r>
      <w:proofErr w:type="spellEnd"/>
      <w:r>
        <w:rPr>
          <w:rFonts w:ascii="Times New Roman" w:hAnsi="Times New Roman" w:cs="Times New Roman"/>
          <w:color w:val="000000"/>
        </w:rPr>
        <w:t>) and those acts done by the sovereign or head of state or his department or other authority for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commercial, financial, or professional purposes 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acta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jure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gestionis</w:t>
      </w:r>
      <w:proofErr w:type="spellEnd"/>
      <w:r>
        <w:rPr>
          <w:rFonts w:ascii="Times New Roman" w:hAnsi="Times New Roman" w:cs="Times New Roman"/>
          <w:color w:val="000000"/>
        </w:rPr>
        <w:t>). The restrictive theory grants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immunity in the former and withholds it in the case of the latter. The restrictive immunity theory of state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diplomatic immunity as well as the purpose thereof were expressed in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Victory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Trasport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</w:t>
      </w:r>
      <w:r w:rsidR="00D43A1B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Comisaria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General </w:t>
      </w:r>
      <w:r>
        <w:rPr>
          <w:rFonts w:ascii="Times New Roman" w:hAnsi="Times New Roman" w:cs="Times New Roman"/>
          <w:color w:val="000000"/>
        </w:rPr>
        <w:t>336 Federal Republic (2a) 354, in which the United States Court of Appeals said: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“The purpose of the restrictive theory of sovereign immunity is to try to accommodate the interest of</w:t>
      </w:r>
      <w:r w:rsidR="00D43A1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individuals doing business with foreign governments in having their legal rights determined by the courts with</w:t>
      </w:r>
      <w:r w:rsidR="00D43A1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interest of foreign governments in being free to perform certain political acts without undergoing the</w:t>
      </w:r>
      <w:r w:rsidR="00D43A1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embarrassment or hindrance of defending the propriety of such acts before foreign courts”.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Lord Denning MR stated the restrictive diplomatic immunity theory in the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Trendtex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Trading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Corporation v Central Bank of Nigeria </w:t>
      </w:r>
      <w:r>
        <w:rPr>
          <w:rFonts w:ascii="Times New Roman" w:hAnsi="Times New Roman" w:cs="Times New Roman"/>
          <w:color w:val="000000"/>
        </w:rPr>
        <w:t>[1977] QB 529, in the following terms at 558: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“If a government department goes into the market places of the world and buys boots or cement – as a</w:t>
      </w:r>
      <w:r w:rsidR="00D43A1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commercial transaction – that government department should be subject to all the rules of the market place.</w:t>
      </w:r>
      <w:r w:rsidR="00D43A1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seller is not concerned with the purpose to which the purchasers intends to put the goods”.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appears, then, that the absolute diplomatic immunity theory emphasizes safeguarding international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comity or promotion of harmonious diplomatic relations between the sending and receiving states,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sometimes to the detriment or disadvantage of interests of individuals, while the restrictive diplomatic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immunity theory puts to the fore interests of individuals in commercial transactions as far as possible.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is also clear from the authorities that in applying the restrictive diplomatic immunity theory, the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vexing question for the courts has often been drawing the demarcation line between public acts and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commercial acts. It is likewise evident that each case has largely been decided on the basis of its own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peculiar facts and circumstances and, in some cases, the decisions have been influenced by the stand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taken by the government of the receiving state.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Having made the foregoing observations, I now proceed to deal with the points raised in the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submissions and come to </w:t>
      </w:r>
      <w:r w:rsidR="00D43A1B">
        <w:rPr>
          <w:rFonts w:ascii="Times New Roman" w:hAnsi="Times New Roman" w:cs="Times New Roman"/>
          <w:color w:val="000000"/>
        </w:rPr>
        <w:t>my</w:t>
      </w:r>
      <w:r>
        <w:rPr>
          <w:rFonts w:ascii="Times New Roman" w:hAnsi="Times New Roman" w:cs="Times New Roman"/>
          <w:color w:val="000000"/>
        </w:rPr>
        <w:t xml:space="preserve"> own findings and conclusions thereon. I propose to deal with them in </w:t>
      </w:r>
      <w:r w:rsidR="00D43A1B">
        <w:rPr>
          <w:rFonts w:ascii="Times New Roman" w:hAnsi="Times New Roman" w:cs="Times New Roman"/>
          <w:color w:val="000000"/>
        </w:rPr>
        <w:t>the order</w:t>
      </w:r>
      <w:r>
        <w:rPr>
          <w:rFonts w:ascii="Times New Roman" w:hAnsi="Times New Roman" w:cs="Times New Roman"/>
          <w:color w:val="000000"/>
        </w:rPr>
        <w:t xml:space="preserve"> in which they were dealt with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Mbuya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the </w:t>
      </w: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the Attorney-General.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With regard to the first point, I think that it should be realized that this Court, constituted by the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Constitution, is different from, and superior to, the tribunals in the other two matters; and the suit before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Court is an independent suit. So, any acts done by the Defendants in other proceedings before other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lastRenderedPageBreak/>
        <w:t>tribunals are, in my view, irrelevant for purposes of this suit. That being the position, no inference ought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be drawn from any other proceeding for purposes of this suit.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 for articles 32(3) of the Convention, it must be borne in mind that in this case, it was the Plaintiffs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who initiated these proceedings and not the Defendants. Article 32(3) of the Convention provides as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follows: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“32 (3)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The initiation of proceedings by a diplomatic agent or by a person enjoying immunity from</w:t>
      </w:r>
      <w:r w:rsidR="00D43A1B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jurisdiction </w:t>
      </w:r>
      <w:r>
        <w:rPr>
          <w:rFonts w:ascii="Times New Roman" w:hAnsi="Times New Roman" w:cs="Times New Roman"/>
          <w:color w:val="000000"/>
          <w:sz w:val="20"/>
          <w:szCs w:val="20"/>
        </w:rPr>
        <w:t>under Article 37 shall preclude him from invoking immunity from jurisdiction in</w:t>
      </w:r>
      <w:r w:rsidR="00D43A1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respect of any counterclaim directly connected with principal claim”. (Emphasis supplied.)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the instant case, therefore, the Plaintiffs cannot call in aid the provisions of article 32(3) of the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convention because the Defendants did not initiate these proceedings.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above reasons, the first ground of objection by the Plaintiffs must accordingly fail.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second ground relates to the Second Defendant alone. It was argued on behalf of the Plaintiffs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because the Second Defendant was no longer a diplomatic agent of the Republic of Romania in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Tanzania and is no longer in this country, and because, it was alleged, the Second Defendant is no longer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employee of the Ministry of External Affairs of the Republic of Romania, the plea of diplomatic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immunity is not available to him.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From the contents of paragraph 5 of the plaint and the First Defendant’s </w:t>
      </w:r>
      <w:r>
        <w:rPr>
          <w:rFonts w:ascii="Times New Roman" w:hAnsi="Times New Roman" w:cs="Times New Roman"/>
          <w:i/>
          <w:iCs/>
          <w:color w:val="000000"/>
        </w:rPr>
        <w:t xml:space="preserve">note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verbale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Ministry,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 is quite clear that at all material times, as far as this suit is concerned, the Second Defendant was </w:t>
      </w:r>
      <w:r w:rsidR="00D43A1B">
        <w:rPr>
          <w:rFonts w:ascii="Times New Roman" w:hAnsi="Times New Roman" w:cs="Times New Roman"/>
          <w:color w:val="000000"/>
        </w:rPr>
        <w:t>a diplomat</w:t>
      </w:r>
      <w:r>
        <w:rPr>
          <w:rFonts w:ascii="Times New Roman" w:hAnsi="Times New Roman" w:cs="Times New Roman"/>
          <w:color w:val="000000"/>
        </w:rPr>
        <w:t xml:space="preserve"> of the Republic of Romania accredited to Tanzania and, therefore, </w:t>
      </w:r>
      <w:r>
        <w:rPr>
          <w:rFonts w:ascii="Times New Roman" w:hAnsi="Times New Roman" w:cs="Times New Roman"/>
          <w:i/>
          <w:iCs/>
          <w:color w:val="000000"/>
        </w:rPr>
        <w:t>prima facie</w:t>
      </w:r>
      <w:r>
        <w:rPr>
          <w:rFonts w:ascii="Times New Roman" w:hAnsi="Times New Roman" w:cs="Times New Roman"/>
          <w:color w:val="000000"/>
        </w:rPr>
        <w:t>, enjoyed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diplomatic immunity from civil, criminal, and administrative jurisdiction in Tanzania by virtue of articles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31 and 32 of the Convention, which have the force of law in Tanzania by virtue of Act Number 5 of 1986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Tanzania. It is equally clear from the plaint insofar as the transactions that gave rise to this suit are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concerned, that the Second Defendant, at all material times, was acting on the instructions of his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principal, that is, the First Defendant, and not in his private capacity.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That being the position, the answer to this question, it seems to me, lies in article 39(2) of the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Convention which reads: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“2. When the functions of a person enjoying privileges and immunities have come to an end, such</w:t>
      </w:r>
      <w:r w:rsidR="00D43A1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privileges and immunities shall normally cease at the moment when he leaves the country or on expiry</w:t>
      </w:r>
      <w:r w:rsidR="00D43A1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a reasonable period in which to do so, but shall subsist until that time, even in case of armed</w:t>
      </w:r>
      <w:r w:rsidR="00D43A1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conflict.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However, with respect to acts performed by such a person in the exercise of his functions as a</w:t>
      </w:r>
      <w:r w:rsidR="00D43A1B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member of the mission, immunity shall continue to subsist</w:t>
      </w:r>
      <w:r>
        <w:rPr>
          <w:rFonts w:ascii="Times New Roman" w:hAnsi="Times New Roman" w:cs="Times New Roman"/>
          <w:color w:val="000000"/>
          <w:sz w:val="20"/>
          <w:szCs w:val="20"/>
        </w:rPr>
        <w:t>”. (Emphasis supplied).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Ipso facto</w:t>
      </w:r>
      <w:r>
        <w:rPr>
          <w:rFonts w:ascii="Times New Roman" w:hAnsi="Times New Roman" w:cs="Times New Roman"/>
          <w:color w:val="000000"/>
        </w:rPr>
        <w:t>, the mere absence of the Second Defendant from Tanzania did not terminate his diplomatic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immunity in this case because he performed the acts complained of in this suit in the exercise of his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functions as a member of the First Defendant’s mission and on behalf of his state. That immunity could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only cease if the Republic of Romania had waived it, and such waiver must be specific. (See Charles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Lewis on </w:t>
      </w:r>
      <w:r>
        <w:rPr>
          <w:rFonts w:ascii="Times New Roman" w:hAnsi="Times New Roman" w:cs="Times New Roman"/>
          <w:i/>
          <w:iCs/>
          <w:color w:val="000000"/>
        </w:rPr>
        <w:t xml:space="preserve">State and Diplomatic Immunity </w:t>
      </w:r>
      <w:r>
        <w:rPr>
          <w:rFonts w:ascii="Times New Roman" w:hAnsi="Times New Roman" w:cs="Times New Roman"/>
          <w:color w:val="000000"/>
        </w:rPr>
        <w:t>1980 at 107).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the instant case, there has been no such waiver. On the contrary, in the </w:t>
      </w:r>
      <w:r>
        <w:rPr>
          <w:rFonts w:ascii="Times New Roman" w:hAnsi="Times New Roman" w:cs="Times New Roman"/>
          <w:i/>
          <w:iCs/>
          <w:color w:val="000000"/>
        </w:rPr>
        <w:t xml:space="preserve">note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verbale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referred to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above, the Republic of Romania has categorically stated that it has not and will not waive the Second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Defendant’s diplomatic immunity in this case. On these grounds, the second ground of objection also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fails.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Finally, I turn to the third ground of objection. It has been submitted on behalf of the Plaintiffs that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since this was a purely commercial transaction, on the basis of the restrictive theory of state and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diplomatic immunity, that plea is not available to the Defendants.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certain jurisdictions, such as the United States, where courts jealously guard the principles of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judicial independence and the rule of law, courts pay great heed to the stance taken by the government of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receiving state. As observed Charles Lewis in his book </w:t>
      </w:r>
      <w:r>
        <w:rPr>
          <w:rFonts w:ascii="Times New Roman" w:hAnsi="Times New Roman" w:cs="Times New Roman"/>
          <w:i/>
          <w:iCs/>
          <w:color w:val="000000"/>
        </w:rPr>
        <w:t xml:space="preserve">State and Diplomatic Immunity </w:t>
      </w:r>
      <w:r>
        <w:rPr>
          <w:rFonts w:ascii="Times New Roman" w:hAnsi="Times New Roman" w:cs="Times New Roman"/>
          <w:color w:val="000000"/>
        </w:rPr>
        <w:t>1980 at page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16: “It appears in fact that the United States courts hardly exercise their own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discretion since (the ‘Tate Letter’) … but merely accept the view of the State Department (although the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United State statute transfers the responsibility to the courts)”.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This statement is inferentially confirmed by the </w:t>
      </w:r>
      <w:r>
        <w:rPr>
          <w:rFonts w:ascii="Times New Roman" w:hAnsi="Times New Roman" w:cs="Times New Roman"/>
          <w:i/>
          <w:iCs/>
          <w:color w:val="000000"/>
        </w:rPr>
        <w:t xml:space="preserve">Victory Transport </w:t>
      </w:r>
      <w:r>
        <w:rPr>
          <w:rFonts w:ascii="Times New Roman" w:hAnsi="Times New Roman" w:cs="Times New Roman"/>
          <w:color w:val="000000"/>
        </w:rPr>
        <w:t>case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in which the United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States Court of Appeals observed: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“We do not think that the restrictive theory adopted by the State Department requires sacrificing the interests</w:t>
      </w:r>
      <w:r w:rsidR="00D43A1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of private litigants to the international comity in other than these limited categories.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Should diplomacy require</w:t>
      </w:r>
      <w:r w:rsidR="00D43A1B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enlargement of these categories, the State Department can file a suggestion of immunity with the court.</w:t>
      </w:r>
    </w:p>
    <w:p w:rsidR="00316D2E" w:rsidRPr="00D43A1B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lastRenderedPageBreak/>
        <w:t>Should diplomacy require contraction of these categories, the State Department can issue a new or clarifying</w:t>
      </w:r>
      <w:r w:rsidR="00D43A1B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policy pronouncement</w:t>
      </w:r>
      <w:r>
        <w:rPr>
          <w:rFonts w:ascii="Times New Roman" w:hAnsi="Times New Roman" w:cs="Times New Roman"/>
          <w:color w:val="000000"/>
          <w:sz w:val="20"/>
          <w:szCs w:val="20"/>
        </w:rPr>
        <w:t>”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000000"/>
          <w:sz w:val="20"/>
          <w:szCs w:val="20"/>
        </w:rPr>
        <w:t>(Emphasis supplied.)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take the view that where the government of the receiving state takes no stance in the matter or has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chosen to be silent in the matter, municipal courts should be free to exercise their judicial discretion on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basis of the authorities and the facts and circumstances of each case. But where the government of the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receiving state has taken a definite stand, that is an indication of whether such receiving state adheres to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absolute or restrictive theory of state and diplomatic immunity, and in such a case, the courts would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do well to defer to such a </w:t>
      </w:r>
      <w:proofErr w:type="spellStart"/>
      <w:r>
        <w:rPr>
          <w:rFonts w:ascii="Times New Roman" w:hAnsi="Times New Roman" w:cs="Times New Roman"/>
          <w:color w:val="000000"/>
        </w:rPr>
        <w:t>prouncement</w:t>
      </w:r>
      <w:proofErr w:type="spellEnd"/>
      <w:r>
        <w:rPr>
          <w:rFonts w:ascii="Times New Roman" w:hAnsi="Times New Roman" w:cs="Times New Roman"/>
          <w:color w:val="000000"/>
        </w:rPr>
        <w:t xml:space="preserve"> because the government could have more facts than the courts as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delicacy of the matter and the competing claims.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the instant case, the Ministry has stated in no uncertain terms that state and diplomatic immunity is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available to the Defendants in this case. With regard to the absolute and restrictive theory of state and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diplomatic immunity, I tend to agree with the submissions of </w:t>
      </w: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the Attorney-General that from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tone of the two letters of the Ministry to this Court, Tanzania, which is a common law orientated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country, is still adhering to the absolute theory of state and diplomatic immunity which, it would appear,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the cornerstone of the Convention.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Apart from the stance of the Ministry on this matter, I have taken into account the facts and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circumstances of this case. Paragraph 6 of the plaint reads in part as follows: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“6 That the property on Plot Number 11, Ocean Road, Dar-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-Salaam which is owned by the Republic of</w:t>
      </w:r>
    </w:p>
    <w:p w:rsidR="00316D2E" w:rsidRPr="00D43A1B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Romania is partly used as Chancery for the said Republic as well as a residence of its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Charge D’</w:t>
      </w:r>
      <w:r w:rsidR="00D43A1B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Affaires </w:t>
      </w:r>
      <w:r>
        <w:rPr>
          <w:rFonts w:ascii="Times New Roman" w:hAnsi="Times New Roman" w:cs="Times New Roman"/>
          <w:color w:val="000000"/>
          <w:sz w:val="20"/>
          <w:szCs w:val="20"/>
        </w:rPr>
        <w:t>..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”.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other words, this suit touches upon part of the premises of the Defendants’ Mission in Tanzania.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Article 22 of the Convention, which has the force of law in Tanzania by the provisions of the Diplomatic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Consular Immunities and Privileges Act, 1986, provides as follows: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“Article 22.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1 </w:t>
      </w:r>
      <w:r w:rsidR="00D43A1B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premises of the mission shall be inviolable. The agent of the receiving state may not enter them,</w:t>
      </w:r>
      <w:r w:rsidR="00D43A1B">
        <w:rPr>
          <w:rFonts w:ascii="Times New Roman" w:hAnsi="Times New Roman" w:cs="Times New Roman"/>
          <w:color w:val="000000"/>
          <w:sz w:val="20"/>
          <w:szCs w:val="20"/>
        </w:rPr>
        <w:t xml:space="preserve"> except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with the consent of the head of the mission.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2 </w:t>
      </w:r>
      <w:r w:rsidR="00D43A1B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receiving state is under a special duty to take all appropriate steps to protect the premises of the</w:t>
      </w:r>
      <w:r w:rsidR="00D43A1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mission against any intrusion or damage and to prevent any disturbance of the peace of the mission or</w:t>
      </w:r>
      <w:r w:rsidR="00D43A1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impairment of its dignity”.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these reasons, I am of the considered view that the third ground of objection must also fail.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the upshot, I hereby uphold the Defendants’ plea and hold that state and diplomatic immunity are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available to the two Defendants in this case. This suit is accordingly dismissed.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It was urged by the </w:t>
      </w: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the Attorney-General that I should award costs to the Defendants.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With respect, I have not felt comfortable about making such an order in view of the fact that the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Defendants did not, as such, enter an appearance in this Court. I accordingly order that each party shall</w:t>
      </w:r>
      <w:r w:rsidR="00D4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bear its/his own costs. Suit dismissed accordingly.</w:t>
      </w:r>
    </w:p>
    <w:p w:rsidR="00316D2E" w:rsidRDefault="00316D2E" w:rsidP="007F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Applicant:</w:t>
      </w:r>
    </w:p>
    <w:p w:rsidR="00316D2E" w:rsidRDefault="00316D2E" w:rsidP="00316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p w:rsidR="00316D2E" w:rsidRDefault="00316D2E" w:rsidP="00316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2640CC" w:rsidRDefault="00316D2E" w:rsidP="00316D2E"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sectPr w:rsidR="00264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D2E"/>
    <w:rsid w:val="002640CC"/>
    <w:rsid w:val="00316D2E"/>
    <w:rsid w:val="007F5FBF"/>
    <w:rsid w:val="00D4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388802-6D49-4947-9D9A-7C749182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3204</Words>
  <Characters>18269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4</cp:revision>
  <dcterms:created xsi:type="dcterms:W3CDTF">2018-07-05T10:02:00Z</dcterms:created>
  <dcterms:modified xsi:type="dcterms:W3CDTF">2018-07-10T13:11:00Z</dcterms:modified>
</cp:coreProperties>
</file>