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Bifabusha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Turyazooka</w:t>
      </w:r>
      <w:proofErr w:type="spellEnd"/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October 2000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3/00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Kato,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bailiff – Bailiff instructed to sell immovable property – Bailiff selling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movable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property also – Whether bailiff acted in excess of his power – Whether bailiff entitled to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protection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section48 of the Judicature Act.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Summary dismissal of suit – Order 7, Rule 11(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and 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Civil Procedure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 – Appellant filing suit against court bailiff for illegal sale – Court bailiff alleging protection of law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Section 48 – Judicature statute – Whether matter suitable for dismissal under Order 7, Rule 11(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and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 – Civil Procedure Rules.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The Appellant was a registered co-owner of an immovable property. His co-owner sued the Appellant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successfully and an order was issued for the sale of the immovable property. The Respondent, who was a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broker, was given the attachment warrant to attach and sell and he attached and sold the property.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successfully challenged the decision to sue in the High Court but upon re-entering the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property, he found that all his immovable property had been sold, stolen or </w:t>
      </w:r>
      <w:proofErr w:type="spellStart"/>
      <w:r>
        <w:rPr>
          <w:rFonts w:ascii="Times New Roman" w:hAnsi="Times New Roman" w:cs="Times New Roman"/>
          <w:color w:val="000000"/>
        </w:rPr>
        <w:t>vandalised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sued the Respondent for general and special damages arguing that by selling the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movable property, the Respondent had exceeded his powers given by the warrant of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attachment and his conduct amounted to conversion. The Respondent’s advocate raised a preliminary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urging that the plaint disclosed no cause of action on the grounds that the Respondent acted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lawfully and as a court broker he was protected by section 48 of the Judicature Statute. He prayed that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be dismissed under Order 7, Rule 11(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Civil Procedure Rules. The Learned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upheld the objection and the Appellant appealed to the Court of Appeal.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an objection to the plaint under Order 7, Rule 11(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Civil Procedure Rules the judge had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obsence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construe the plaint carefully and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 whether there was inherent defect in the plaint. A distinction must be drawn between an application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reject a plaint and one where a matter of law was set down for argument as a preliminary point. Under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7, Rule 11(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Rules, an inherent defect in the plaint must be shown, rather than that the suit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maintainable in law. In the latter case a preliminary point should be set down per hearing on a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of law. </w:t>
      </w:r>
      <w:r>
        <w:rPr>
          <w:rFonts w:ascii="Times New Roman" w:hAnsi="Times New Roman" w:cs="Times New Roman"/>
          <w:i/>
          <w:iCs/>
          <w:color w:val="000000"/>
        </w:rPr>
        <w:t xml:space="preserve">Wycliffe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(Supreme Court) civil appeal number 3 of 1993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(UR)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Ali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Dewji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Maghji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[1953] 20 EACA 132 followed.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Whenever a court bailiff as a court officer was protected from suit for any lawful or authorised act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in the execution of a warrant under section 48(2) of the Judicature Statute, the protection was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 only when the bailiff acted lawfully; </w:t>
      </w:r>
      <w:r>
        <w:rPr>
          <w:rFonts w:ascii="Times New Roman" w:hAnsi="Times New Roman" w:cs="Times New Roman"/>
          <w:i/>
          <w:iCs/>
          <w:color w:val="000000"/>
        </w:rPr>
        <w:t xml:space="preserve">Maria Onyango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Ochola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Hannington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Wasswa</w:t>
      </w:r>
      <w:proofErr w:type="spellEnd"/>
      <w:r w:rsidR="008C1D3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[1988-1999] HCB 102 followed. The Appellant’s contention that the Respondent sold some immovable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without authority should have been investigated by way of evidence. The issue of protection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48(2) of the Judicature Statute was a point of law suitable for investigation at a full</w:t>
      </w:r>
      <w:r w:rsidR="008C1D3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hearing.</w:t>
      </w:r>
    </w:p>
    <w:p w:rsidR="00D21F79" w:rsidRDefault="00D21F79" w:rsidP="00DC7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was allowed.</w:t>
      </w:r>
    </w:p>
    <w:bookmarkEnd w:id="0"/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Auto Garage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Motokov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[1971] EA 514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Francis Micah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Walakira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civil appeal number 21 of 1994 (UR)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Katikiro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Buganda v AG of Uganda </w:t>
      </w:r>
      <w:r>
        <w:rPr>
          <w:rFonts w:ascii="Times New Roman" w:hAnsi="Times New Roman" w:cs="Times New Roman"/>
          <w:color w:val="000000"/>
        </w:rPr>
        <w:t>[1958] EA 765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Maria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Onvango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Ochola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Hannington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[1988–1999] HCB 102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21F79" w:rsidRDefault="00D21F79" w:rsidP="00D21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Ali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Dewii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Maghji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[1953] 20 EACA 132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640CC" w:rsidRDefault="00D21F79" w:rsidP="00D21F79">
      <w:r>
        <w:rPr>
          <w:rFonts w:ascii="Times New Roman" w:hAnsi="Times New Roman" w:cs="Times New Roman"/>
          <w:i/>
          <w:iCs/>
          <w:color w:val="000000"/>
        </w:rPr>
        <w:t xml:space="preserve">Wycliffe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Kigundu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Supreme Court civil appeal number 3 of 1993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640CC" w:rsidSect="008C1D38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79"/>
    <w:rsid w:val="002640CC"/>
    <w:rsid w:val="008C1D38"/>
    <w:rsid w:val="00D21F79"/>
    <w:rsid w:val="00D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EB0D8-DEB2-41CD-B1D9-0B51C24F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2018-07-05T10:03:00Z</dcterms:created>
  <dcterms:modified xsi:type="dcterms:W3CDTF">2018-07-10T13:13:00Z</dcterms:modified>
</cp:coreProperties>
</file>