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Bifabusha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Turyazooka</w:t>
      </w:r>
      <w:proofErr w:type="spellEnd"/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October 2000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3/00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Kato,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bailiff – Bailiff instructed to sell immovable property – Bailiff selling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movable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property also – Whether bailiff acted in excess of his power – Whether bailiff entitled to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protection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section48 of the Judicature Act.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and procedure – Summary dismissal of suit – Order 7, Rule 11(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and (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 – Civil Procedure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 – Appellant filing suit against court bailiff for illegal sale – Court bailiff alleging protection of law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Section 48 – Judicature statute – Whether matter suitable for dismissal under Order 7, Rule 11(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and</w:t>
      </w:r>
    </w:p>
    <w:p w:rsidR="00297997" w:rsidRDefault="00297997" w:rsidP="00FE1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 – Civil Procedure Rules.</w:t>
      </w:r>
    </w:p>
    <w:p w:rsidR="00297997" w:rsidRDefault="00297997" w:rsidP="00297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</w:rPr>
        <w:t xml:space="preserve">KITUMBA JA: </w:t>
      </w:r>
      <w:r>
        <w:rPr>
          <w:rFonts w:ascii="Times New Roman" w:hAnsi="Times New Roman" w:cs="Times New Roman"/>
          <w:color w:val="000000"/>
        </w:rPr>
        <w:t xml:space="preserve">This is an appeal from the ruling and order of </w:t>
      </w:r>
      <w:proofErr w:type="spellStart"/>
      <w:r>
        <w:rPr>
          <w:rFonts w:ascii="Times New Roman" w:hAnsi="Times New Roman" w:cs="Times New Roman"/>
          <w:color w:val="000000"/>
        </w:rPr>
        <w:t>Katutsi</w:t>
      </w:r>
      <w:proofErr w:type="spellEnd"/>
      <w:r>
        <w:rPr>
          <w:rFonts w:ascii="Times New Roman" w:hAnsi="Times New Roman" w:cs="Times New Roman"/>
          <w:color w:val="000000"/>
        </w:rPr>
        <w:t xml:space="preserve"> J dated 29 September 1999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whereby he rejected the Appellant’s plaint as disclosing no cause of action and ordered him to pay costs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Respondent.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giving rise to this appeal are as follows. The Appellant was a registered co-owner of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 located at plot 5 </w:t>
      </w:r>
      <w:proofErr w:type="spellStart"/>
      <w:r>
        <w:rPr>
          <w:rFonts w:ascii="Times New Roman" w:hAnsi="Times New Roman" w:cs="Times New Roman"/>
          <w:color w:val="000000"/>
        </w:rPr>
        <w:t>Kazooba</w:t>
      </w:r>
      <w:proofErr w:type="spellEnd"/>
      <w:r>
        <w:rPr>
          <w:rFonts w:ascii="Times New Roman" w:hAnsi="Times New Roman" w:cs="Times New Roman"/>
          <w:color w:val="000000"/>
        </w:rPr>
        <w:t xml:space="preserve"> Road,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Municipality,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District. The Appellant was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successfully sued by his co-owner in the Chief Magistrate’s court. An order was made to sell off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property. The Respondent, who was a court broker, was given an attachment warrant to attach and to sell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 the immovable property. He attached the immovable property and duly sold it off. The Appellant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successfully challenged the decision of the lower court in the High Court. The High Court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that the Appellant re-enters the property. On re-entering the property, the Appellant found that all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movable properties had been sold, stolen or </w:t>
      </w:r>
      <w:r w:rsidR="00FE198B">
        <w:rPr>
          <w:rFonts w:ascii="Times New Roman" w:hAnsi="Times New Roman" w:cs="Times New Roman"/>
          <w:color w:val="000000"/>
        </w:rPr>
        <w:t>vandalized</w:t>
      </w:r>
      <w:r>
        <w:rPr>
          <w:rFonts w:ascii="Times New Roman" w:hAnsi="Times New Roman" w:cs="Times New Roman"/>
          <w:color w:val="000000"/>
        </w:rPr>
        <w:t>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sued the Respondent for general and special damages. In his pleadings, the Appellant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by selling the movable property, the Respondent exceeded the power given to him by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warrant of attachment and his conduct amounted to conversion. At the beginning of the trial, counsel for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raised a preliminary objection that the plaint disclosed no cause of action on the grounds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Respondent acted lawfully and as a court broker he was protected by section 48 of the Judicature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Statute. Counsel prayed that the plaint be dismissed under Order 7, Rule 11(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Civil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Rules for non-disclosure of cause of action and that the plaint was frivolous and vexatious.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objection was upheld by the </w:t>
      </w:r>
      <w:r w:rsidR="00FE198B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being aggrieved by this decision appealed to this Court. There are three grounds of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namely: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 That the Learned trial Judge erred in law and fact to hold that the plaint disclosed no cause of action.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 That the trial Judge erred in law in rejecting of the plaint when there was a serious and important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 of law that should have been determined by trial on pleadings.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 The trial Judge erred in law when he held that the Defendant followed the law and that he was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protected by section 48(2) of the Judicature Statute as an officer of Court”.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Michael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Akampurira</w:t>
      </w:r>
      <w:proofErr w:type="spellEnd"/>
      <w:r>
        <w:rPr>
          <w:rFonts w:ascii="Times New Roman" w:hAnsi="Times New Roman" w:cs="Times New Roman"/>
          <w:color w:val="000000"/>
        </w:rPr>
        <w:t>, learned counsel for the Appellant, submitted on all the grounds together. I shall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the same order.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Akampurira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Appellant had a cause of action and had shown that in his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pleadings. Counsel submitted that the Appellant had the right to his property. This right was violated.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was responsible because during execution he exceeded what was authorized on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warrant. The warrant of attachment which was attached to the plaint as </w:t>
      </w:r>
      <w:proofErr w:type="spellStart"/>
      <w:r>
        <w:rPr>
          <w:rFonts w:ascii="Times New Roman" w:hAnsi="Times New Roman" w:cs="Times New Roman"/>
          <w:color w:val="000000"/>
        </w:rPr>
        <w:t>Annexture</w:t>
      </w:r>
      <w:proofErr w:type="spellEnd"/>
      <w:r>
        <w:rPr>
          <w:rFonts w:ascii="Times New Roman" w:hAnsi="Times New Roman" w:cs="Times New Roman"/>
          <w:color w:val="000000"/>
        </w:rPr>
        <w:t xml:space="preserve"> “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>” only authorized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limited the Respondent to attach and sell immovable property at Plot 5 </w:t>
      </w:r>
      <w:proofErr w:type="spellStart"/>
      <w:r>
        <w:rPr>
          <w:rFonts w:ascii="Times New Roman" w:hAnsi="Times New Roman" w:cs="Times New Roman"/>
          <w:color w:val="000000"/>
        </w:rPr>
        <w:t>Kazooba</w:t>
      </w:r>
      <w:proofErr w:type="spellEnd"/>
      <w:r>
        <w:rPr>
          <w:rFonts w:ascii="Times New Roman" w:hAnsi="Times New Roman" w:cs="Times New Roman"/>
          <w:color w:val="000000"/>
        </w:rPr>
        <w:t xml:space="preserve"> Road,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</w:p>
    <w:p w:rsidR="00297997" w:rsidRPr="00FE198B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Municipality. As the Respondent exceeded his power in executing the warrant he was not protected by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48 of the Judicature Statute. In support of this submission he relied on </w:t>
      </w:r>
      <w:r>
        <w:rPr>
          <w:rFonts w:ascii="Times New Roman" w:hAnsi="Times New Roman" w:cs="Times New Roman"/>
          <w:i/>
          <w:iCs/>
          <w:color w:val="000000"/>
        </w:rPr>
        <w:t xml:space="preserve">Francis Micah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Nuwa</w:t>
      </w:r>
      <w:proofErr w:type="spellEnd"/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Walakira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Supreme Court </w:t>
      </w:r>
      <w:r>
        <w:rPr>
          <w:rFonts w:ascii="Times New Roman" w:hAnsi="Times New Roman" w:cs="Times New Roman"/>
          <w:color w:val="000000"/>
        </w:rPr>
        <w:t>civil appeal number 21 of 1994 (UR)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Learned counsel criticized the </w:t>
      </w:r>
      <w:r w:rsidR="00FE198B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for rejecting the plaint that it disclosed no cause of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whereas in paragraph 3(c) of the plaint it was averred that the Respondent exceeded the authority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warrant of execution. In paragraph 5 of the plaint it was averred that the Respondent’s disposing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 the Appellant’s movable property amounted to conversion. This disposal of movable property in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view, necessitated the court’s taking of evidence in order to determine whether the Respondent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exceeded his authority. Counsel submitted that the matter should have been dealt with in Order 13, Rule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 of the Civil Procedure Rules. He relied on Wycliffe </w:t>
      </w:r>
      <w:proofErr w:type="spellStart"/>
      <w:r>
        <w:rPr>
          <w:rFonts w:ascii="Times New Roman" w:hAnsi="Times New Roman" w:cs="Times New Roman"/>
          <w:color w:val="000000"/>
        </w:rPr>
        <w:t>Kiggundu</w:t>
      </w:r>
      <w:proofErr w:type="spellEnd"/>
      <w:r>
        <w:rPr>
          <w:rFonts w:ascii="Times New Roman" w:hAnsi="Times New Roman" w:cs="Times New Roman"/>
          <w:color w:val="000000"/>
        </w:rPr>
        <w:t xml:space="preserve"> v Attorney-General Supreme Court civil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number 3 of 1993 (UR) and </w:t>
      </w:r>
      <w:proofErr w:type="spellStart"/>
      <w:r>
        <w:rPr>
          <w:rFonts w:ascii="Times New Roman" w:hAnsi="Times New Roman" w:cs="Times New Roman"/>
          <w:color w:val="000000"/>
        </w:rPr>
        <w:t>Katikiro</w:t>
      </w:r>
      <w:proofErr w:type="spellEnd"/>
      <w:r>
        <w:rPr>
          <w:rFonts w:ascii="Times New Roman" w:hAnsi="Times New Roman" w:cs="Times New Roman"/>
          <w:color w:val="000000"/>
        </w:rPr>
        <w:t xml:space="preserve"> of Buganda v AG of Uganda [1958] EA 765. He prayed that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be allowed, the case be reinstated and costs of the suit.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Bernard </w:t>
      </w:r>
      <w:proofErr w:type="spellStart"/>
      <w:r>
        <w:rPr>
          <w:rFonts w:ascii="Times New Roman" w:hAnsi="Times New Roman" w:cs="Times New Roman"/>
          <w:color w:val="000000"/>
        </w:rPr>
        <w:t>Tibesigwa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counsel for the Respondent, agreed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Akampurira</w:t>
      </w:r>
      <w:proofErr w:type="spellEnd"/>
      <w:r>
        <w:rPr>
          <w:rFonts w:ascii="Times New Roman" w:hAnsi="Times New Roman" w:cs="Times New Roman"/>
          <w:color w:val="000000"/>
        </w:rPr>
        <w:t xml:space="preserve"> as to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constitutes a cause of action. However he submitted that if any of the three elements is missing,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there is no cause of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action. In support of his argument he relied on Auto Garage and another v </w:t>
      </w:r>
      <w:proofErr w:type="spellStart"/>
      <w:r>
        <w:rPr>
          <w:rFonts w:ascii="Times New Roman" w:hAnsi="Times New Roman" w:cs="Times New Roman"/>
          <w:color w:val="000000"/>
        </w:rPr>
        <w:t>Motokov</w:t>
      </w:r>
      <w:proofErr w:type="spellEnd"/>
      <w:r>
        <w:rPr>
          <w:rFonts w:ascii="Times New Roman" w:hAnsi="Times New Roman" w:cs="Times New Roman"/>
          <w:color w:val="000000"/>
        </w:rPr>
        <w:t xml:space="preserve"> [1971] EA 514.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submitted that as the Respondent was protected by section 48 of the Judicature Act he was not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liable. There was therefore no cause of action.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Tibesigwa</w:t>
      </w:r>
      <w:proofErr w:type="spellEnd"/>
      <w:r>
        <w:rPr>
          <w:rFonts w:ascii="Times New Roman" w:hAnsi="Times New Roman" w:cs="Times New Roman"/>
          <w:color w:val="000000"/>
        </w:rPr>
        <w:t xml:space="preserve"> conceded that if the Respondent exceeded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of execution in the warrant he would be liable. He submitted that in this case the Respondent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not exceed his powers. The Appellant does not dispute the return of execution, </w:t>
      </w:r>
      <w:proofErr w:type="spellStart"/>
      <w:r>
        <w:rPr>
          <w:rFonts w:ascii="Times New Roman" w:hAnsi="Times New Roman" w:cs="Times New Roman"/>
          <w:color w:val="000000"/>
        </w:rPr>
        <w:t>Annexture</w:t>
      </w:r>
      <w:proofErr w:type="spellEnd"/>
      <w:r>
        <w:rPr>
          <w:rFonts w:ascii="Times New Roman" w:hAnsi="Times New Roman" w:cs="Times New Roman"/>
          <w:color w:val="000000"/>
        </w:rPr>
        <w:t xml:space="preserve"> B to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plaint. He denied that there were important points of law for determination and for those reasons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Wycliffe </w:t>
      </w:r>
      <w:proofErr w:type="spellStart"/>
      <w:r>
        <w:rPr>
          <w:rFonts w:ascii="Times New Roman" w:hAnsi="Times New Roman" w:cs="Times New Roman"/>
          <w:color w:val="000000"/>
        </w:rPr>
        <w:t>Kigundu</w:t>
      </w:r>
      <w:proofErr w:type="spellEnd"/>
      <w:r>
        <w:rPr>
          <w:rFonts w:ascii="Times New Roman" w:hAnsi="Times New Roman" w:cs="Times New Roman"/>
          <w:color w:val="000000"/>
        </w:rPr>
        <w:t xml:space="preserve"> v Attorney-General (supra) and </w:t>
      </w:r>
      <w:proofErr w:type="spellStart"/>
      <w:r>
        <w:rPr>
          <w:rFonts w:ascii="Times New Roman" w:hAnsi="Times New Roman" w:cs="Times New Roman"/>
          <w:color w:val="000000"/>
        </w:rPr>
        <w:t>Katikiro</w:t>
      </w:r>
      <w:proofErr w:type="spellEnd"/>
      <w:r>
        <w:rPr>
          <w:rFonts w:ascii="Times New Roman" w:hAnsi="Times New Roman" w:cs="Times New Roman"/>
          <w:color w:val="000000"/>
        </w:rPr>
        <w:t xml:space="preserve"> of Buganda v Attorney-General (supra) were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applicable.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ruling the </w:t>
      </w:r>
      <w:r w:rsidR="00FE198B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held that the Respondent lawfully executed the warrant of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attachment. The Appellant did not dispute the genuineness of the warrant of attachment and the return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filed after execution. The Learned trial Judge stated: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would appear to me therefore that there are no necessary allegations which must be proved to entitle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 to a decree of this Court in the matter. Put differently I find no particular act on the part of the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which give the Defendant cause to complain. Defendant followed the law”.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due respect to the Learned trial Judge the Appellant complained that the Respondent acted outside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law. In paragraph 3(c) of the plaint, the Appellant averred as follows: “[I]n contravention of the law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said order the Defendant sold the suit premises and all the Plaintiff’s property therein on the 23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December 1996. A copy of the return is attached hereto and marked </w:t>
      </w:r>
      <w:proofErr w:type="spellStart"/>
      <w:r>
        <w:rPr>
          <w:rFonts w:ascii="Times New Roman" w:hAnsi="Times New Roman" w:cs="Times New Roman"/>
          <w:color w:val="000000"/>
        </w:rPr>
        <w:t>Annexture</w:t>
      </w:r>
      <w:proofErr w:type="spellEnd"/>
      <w:r>
        <w:rPr>
          <w:rFonts w:ascii="Times New Roman" w:hAnsi="Times New Roman" w:cs="Times New Roman"/>
          <w:color w:val="000000"/>
        </w:rPr>
        <w:t xml:space="preserve"> ‘B’”. In paragraph 5 of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the Appellant stated: “The Plaintiff contends that the Defendant’s action in disposing of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movable property was contrary to the order of court and amounted to conversion”.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is that in an objection to the plaint under Order 7, Rule 11(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Civil Procedure Rules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has to observe and construe the plaint carefully and see whether there is an inherent defect in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plaint. As was held in </w:t>
      </w:r>
      <w:r>
        <w:rPr>
          <w:rFonts w:ascii="Times New Roman" w:hAnsi="Times New Roman" w:cs="Times New Roman"/>
          <w:i/>
          <w:iCs/>
          <w:color w:val="000000"/>
        </w:rPr>
        <w:t xml:space="preserve">Wycliffe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Kigundu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):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distinction must be drawn between an application to reject a plaint, and one when a matter of law is set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down for argument as a preliminary point. That distinction was very clearly explained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Ali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Dewii</w:t>
      </w:r>
      <w:proofErr w:type="spellEnd"/>
      <w:r w:rsidR="00FE198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and others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Maghji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others </w:t>
      </w:r>
      <w:r>
        <w:rPr>
          <w:rFonts w:ascii="Times New Roman" w:hAnsi="Times New Roman" w:cs="Times New Roman"/>
          <w:color w:val="000000"/>
          <w:sz w:val="20"/>
          <w:szCs w:val="20"/>
        </w:rPr>
        <w:t>[1953] 20 EACA 132. The distinction is that under Order 7, Rule 11(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Rules, an inherent defect in the plaint must be shown, rather than that the suit was not maintainable in law. In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latter case a preliminary point should be set down for hearing on a matter of law. (In Tanganyika at that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Order 14, Rule 2 would have been relevant. In Uganda the relevant rule is to be found in Order XIII,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 2 of the Rules)”.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48(2) of the Judicature Statute provides: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 officer of the court or other person bonded to execute any order or warrant of any judge or person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referred to in subsection (1) of this section acting judicially, shall not be liable to be sued in any civil court in</w:t>
      </w:r>
      <w:r w:rsidR="00FE19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any lawful or authorised act done in the execution of any such order or warrant”.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court bailiff is only protected when he/she acts lawfully. See </w:t>
      </w:r>
      <w:r>
        <w:rPr>
          <w:rFonts w:ascii="Times New Roman" w:hAnsi="Times New Roman" w:cs="Times New Roman"/>
          <w:i/>
          <w:iCs/>
          <w:color w:val="000000"/>
        </w:rPr>
        <w:t xml:space="preserve">Maria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Onvango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Ochola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Hannington</w:t>
      </w:r>
      <w:proofErr w:type="spellEnd"/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Wasswa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[1988–1999] HCB 102.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the contention of the Appellant that the Respondent sold the movable property which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 warrant did not authorize him to do. There was need to find out by way of evidence whether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did so. Then the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of the protection of section 48(2) of the Judicature Statute would come in. Issues of law and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of facts were abundant in this case. If the Respondent had a preliminary point of law to object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plaint the matter should have been dealt with according to Order 13, Rule 2 of the Civil Procedure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 All the grounds would therefore succeed.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 would allow the appeal and set aside the ruling of the High Court. I would order that the Appellant’s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be remitted to the High Court for trial by another judge. I would award the costs of this appeal and</w:t>
      </w:r>
      <w:r w:rsidR="00FE19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court below to the Appellant.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and Kato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JA.)</w:t>
      </w:r>
    </w:p>
    <w:p w:rsidR="00297997" w:rsidRDefault="00297997" w:rsidP="007A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bookmarkEnd w:id="0"/>
    <w:p w:rsidR="00297997" w:rsidRDefault="00297997" w:rsidP="00297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297997" w:rsidRDefault="00297997" w:rsidP="00297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640CC" w:rsidRDefault="00297997" w:rsidP="00297997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97"/>
    <w:rsid w:val="002640CC"/>
    <w:rsid w:val="00297997"/>
    <w:rsid w:val="007A5058"/>
    <w:rsid w:val="00FE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49D7-12C4-41C7-85D4-2C4670E3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2018-07-05T10:04:00Z</dcterms:created>
  <dcterms:modified xsi:type="dcterms:W3CDTF">2018-07-10T13:16:00Z</dcterms:modified>
</cp:coreProperties>
</file>