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Biwott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Clays Ltd</w:t>
      </w:r>
      <w:bookmarkStart w:id="0" w:name="_GoBack"/>
      <w:bookmarkEnd w:id="0"/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December 2000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1067 and 1068/99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 of Assize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Libel and defamation – Damages – Liability not disputed in court – Compensatory damages.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Libel in court – Exemplary damages – Whether Plaintiff entitled to</w:t>
      </w:r>
      <w:r>
        <w:rPr>
          <w:rFonts w:ascii="Times New Roman" w:hAnsi="Times New Roman" w:cs="Times New Roman"/>
          <w:color w:val="000000"/>
        </w:rPr>
        <w:t>.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1999 the Plaintiff, a Minister in the Kenyan government, brought two separate actions against a total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six Defendants seeking damages for defamation arising from statements made in a book entitled “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Ian West’s Casebook”. The Plaintiff alleged that at page 88 the book contained words that, in their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and natural meaning, were calculated to mean that the Plaintiff somehow participated in or was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in the murder of the late Kenyan Minister for Foreign Affairs. The offending segment also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allegedly contained words that implicated the Plaintiff in corruption. The Plaintiff’s testimony was to the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that the words had damaged his reputation by portraying him as a murderer and a corrupt person.</w:t>
      </w:r>
      <w:r w:rsidR="003C7EDB">
        <w:rPr>
          <w:rFonts w:ascii="Times New Roman" w:hAnsi="Times New Roman" w:cs="Times New Roman"/>
          <w:color w:val="000000"/>
        </w:rPr>
        <w:t xml:space="preserve"> 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Defendants in the first action were the book’s British printer and publisher together with two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Kenyan companies. The two Defendants in the second action were W, a leading UK pathologist and S, a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British writer. W had been the pathologist on the Scotland Yard team that had been called in to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investigate the murder of the late Foreign Affairs Minister. The investigation had never been completed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 had not been established how the deceased met his death. Though service of summons was effected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UK on the British Defendants, they neither entered appearance nor filed any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. The two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 Defendants admitted liability and, on 12 July 2000, a consent judgment was entered against them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requiring them to pay the Plaintiff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million each and to make an unqualified apology for publishing the offending material. Default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judgments were entered against the remaining Defendants and the suits were now before the Court for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 of damages. On the Plaintiff’s application, the suits were consolidated pursuant to Order XI,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2 of the Civil Procedure Rules.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(1) As liability was not at issue, the Court’s only concern was the question of damages payable to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and whether or not he should be awarded exemplary damages. The fact that the plaintiff had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payment of damages from the two Kenyan defendants did not prevent him from proceeding with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against the remaining defendants. (2) In awarding damages for libel a court had to be guided by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principle that the damages must compensate the plaintiff for the injury to his reputation and the hurt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his feelings. Such damages were known as compensatory damages and were aimed at vindicating the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in public and consoling him for the wrong done;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</w:t>
      </w:r>
      <w:r>
        <w:rPr>
          <w:rFonts w:ascii="Times New Roman" w:hAnsi="Times New Roman" w:cs="Times New Roman"/>
          <w:color w:val="000000"/>
        </w:rPr>
        <w:t>[1996] 2 All ER 35 applied.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Though the assessment of damages was a complex matter, the principles governing the assessment of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compensatory damages were: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award must compensate the plaintiff for pain and suffering caused to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by the publication; (ii) the award should vindicate the plaintiff’s reputation in the eyes of the public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Co. v Broome </w:t>
      </w:r>
      <w:r>
        <w:rPr>
          <w:rFonts w:ascii="Times New Roman" w:hAnsi="Times New Roman" w:cs="Times New Roman"/>
          <w:color w:val="000000"/>
        </w:rPr>
        <w:t>[1972] 1 All ER 801 followed; (iii) the whole conduct of both the plaintiff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defendant had to be considered from the time of publication to the time of judgment. The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would be aggravated if the defendant partook in malicious and insulting conduct with such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“aggravated” damages being aimed at compensating the plaintiff for additional injury going beyond that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flowed from the words alone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Praed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Graham </w:t>
      </w:r>
      <w:r>
        <w:rPr>
          <w:rFonts w:ascii="Times New Roman" w:hAnsi="Times New Roman" w:cs="Times New Roman"/>
          <w:color w:val="000000"/>
        </w:rPr>
        <w:t xml:space="preserve">24 QBD – </w:t>
      </w:r>
      <w:r>
        <w:rPr>
          <w:rFonts w:ascii="Times New Roman" w:hAnsi="Times New Roman" w:cs="Times New Roman"/>
          <w:i/>
          <w:iCs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Pressdram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[1990] 1 All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ER 269,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McCarey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Associated Newspapers Ltd </w:t>
      </w:r>
      <w:r>
        <w:rPr>
          <w:rFonts w:ascii="Times New Roman" w:hAnsi="Times New Roman" w:cs="Times New Roman"/>
          <w:color w:val="000000"/>
        </w:rPr>
        <w:t>[1964] 3 All ER 947 followed; (iv) the court would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any previous damages recovered by the plaintiff in order to ensure that he was not compensated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twice for the same loss – </w:t>
      </w:r>
      <w:r>
        <w:rPr>
          <w:rFonts w:ascii="Times New Roman" w:hAnsi="Times New Roman" w:cs="Times New Roman"/>
          <w:i/>
          <w:iCs/>
          <w:color w:val="000000"/>
        </w:rPr>
        <w:t xml:space="preserve">Lewis v Daily Telegraph Ltd </w:t>
      </w:r>
      <w:r>
        <w:rPr>
          <w:rFonts w:ascii="Times New Roman" w:hAnsi="Times New Roman" w:cs="Times New Roman"/>
          <w:color w:val="000000"/>
        </w:rPr>
        <w:t>[1963] 2 All ER 151 applied; and (v) the court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consider the manner of the publication and the extent of circulation. Applying these principles to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case, the Plaintiff was entitled to a sum that would represent proper compensation and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vindication for the serious injury to his reputation. (3) Where a defendant knows that publication is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tortious, his conduct is calculated to make him profit that may exceed the compensation payable to the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plaintiff, and he </w:t>
      </w:r>
      <w:r>
        <w:rPr>
          <w:rFonts w:ascii="Times New Roman" w:hAnsi="Times New Roman" w:cs="Times New Roman"/>
          <w:color w:val="000000"/>
        </w:rPr>
        <w:lastRenderedPageBreak/>
        <w:t>nevertheless proceeds to publish the words complained of, then a court will award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exemplary damages;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</w:t>
      </w:r>
      <w:r>
        <w:rPr>
          <w:rFonts w:ascii="Times New Roman" w:hAnsi="Times New Roman" w:cs="Times New Roman"/>
          <w:color w:val="000000"/>
        </w:rPr>
        <w:t>followed. Though the award of damages was not meant to enrich the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and a reasonable relation had to be maintained between the wrong done and the damages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awarded, this would not prevent the court from making a high award in a proper case. The defendant’s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after publication of the offending words in this instance merited the award of exemplary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circumstances, the grave nature of the libels perpetrated against the plaintiff merited the award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compensatory damages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and exemplary damages in a like amount of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million. The Kenyan Defendants would be liable for no more than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as per their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settlement and the First Defendant in the first action for no more than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million, as exemplary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had not been claimed against it. The Defendants would also be restrained from selling and</w:t>
      </w:r>
      <w:r w:rsidR="003C7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circulating the book within the Court’s jurisdiction.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E2402" w:rsidRDefault="00DE2402" w:rsidP="003C7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Gicheru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Morton and another </w:t>
      </w:r>
      <w:r>
        <w:rPr>
          <w:rFonts w:ascii="Times New Roman" w:hAnsi="Times New Roman" w:cs="Times New Roman"/>
          <w:color w:val="000000"/>
        </w:rPr>
        <w:t>HCCC number 214 of 1999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HCCC number 85 of 1992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Cassel and Co Ltd v Broome and another </w:t>
      </w:r>
      <w:r>
        <w:rPr>
          <w:rFonts w:ascii="Times New Roman" w:hAnsi="Times New Roman" w:cs="Times New Roman"/>
          <w:color w:val="000000"/>
        </w:rPr>
        <w:t xml:space="preserve">[1972] 1 All ER 801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John v MGN Ltd [1996] 2 AII ER 35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Lewis and another v Associated Newspaper Ltd [1963] 2 AII ER 151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McCarey</w:t>
      </w:r>
      <w:proofErr w:type="spellEnd"/>
      <w:r>
        <w:rPr>
          <w:rFonts w:ascii="Times New Roman" w:hAnsi="Times New Roman" w:cs="Times New Roman"/>
          <w:color w:val="000000"/>
        </w:rPr>
        <w:t xml:space="preserve"> v Associated Newspaper Ltd [1964] 3 All ER 947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Mitchell v </w:t>
      </w:r>
      <w:proofErr w:type="spellStart"/>
      <w:r>
        <w:rPr>
          <w:rFonts w:ascii="Times New Roman" w:hAnsi="Times New Roman" w:cs="Times New Roman"/>
          <w:color w:val="000000"/>
        </w:rPr>
        <w:t>Hirst</w:t>
      </w:r>
      <w:proofErr w:type="spellEnd"/>
      <w:r>
        <w:rPr>
          <w:rFonts w:ascii="Times New Roman" w:hAnsi="Times New Roman" w:cs="Times New Roman"/>
          <w:color w:val="000000"/>
        </w:rPr>
        <w:t>, Kidd and Rennie Ltd [1936] 3 All ER 872</w:t>
      </w:r>
    </w:p>
    <w:p w:rsidR="00DE2402" w:rsidRDefault="00DE2402" w:rsidP="00DE2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Praed</w:t>
      </w:r>
      <w:proofErr w:type="spellEnd"/>
      <w:r>
        <w:rPr>
          <w:rFonts w:ascii="Times New Roman" w:hAnsi="Times New Roman" w:cs="Times New Roman"/>
          <w:color w:val="000000"/>
        </w:rPr>
        <w:t xml:space="preserve"> v Graham [1889] 24 QBD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640CC" w:rsidRDefault="00DE2402" w:rsidP="00DE2402">
      <w:r>
        <w:rPr>
          <w:rFonts w:ascii="Times New Roman" w:hAnsi="Times New Roman" w:cs="Times New Roman"/>
          <w:color w:val="000000"/>
        </w:rPr>
        <w:t xml:space="preserve">Sutcliffe v </w:t>
      </w:r>
      <w:proofErr w:type="spellStart"/>
      <w:r>
        <w:rPr>
          <w:rFonts w:ascii="Times New Roman" w:hAnsi="Times New Roman" w:cs="Times New Roman"/>
          <w:color w:val="000000"/>
        </w:rPr>
        <w:t>Pressdram</w:t>
      </w:r>
      <w:proofErr w:type="spellEnd"/>
      <w:r>
        <w:rPr>
          <w:rFonts w:ascii="Times New Roman" w:hAnsi="Times New Roman" w:cs="Times New Roman"/>
          <w:color w:val="000000"/>
        </w:rPr>
        <w:t xml:space="preserve"> Ltd [1990] 1 All ER 269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02"/>
    <w:rsid w:val="002640CC"/>
    <w:rsid w:val="003C7EDB"/>
    <w:rsid w:val="00D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4BA1-BEC9-41FE-9E0D-19EC0FC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2018-07-05T10:04:00Z</dcterms:created>
  <dcterms:modified xsi:type="dcterms:W3CDTF">2018-07-10T13:18:00Z</dcterms:modified>
</cp:coreProperties>
</file>