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CMC Holdings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Nzioki</w:t>
      </w:r>
      <w:proofErr w:type="spellEnd"/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12 March 2004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329/01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Advocate – Mistake – Suit proceeding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after advocate failed to inform litigant – Whether</w:t>
      </w:r>
      <w:r w:rsidR="00FE145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litigant entitled to setting aside of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judgment.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Setting aside – Suit proceeding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after advocate withdrew from acting but</w:t>
      </w:r>
      <w:r w:rsidR="00FE1454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failed to inform defendant – Whether defendant entitled to setting aside – Factors to be considered by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court.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E1454" w:rsidRDefault="00A81B7D" w:rsidP="00FE1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 filed suit in the Magistrate’s Court claiming special damages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40 000 being the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a motor vehicle that was allegedly sold wrongfully by the Appellant. The Respondent also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loss of profits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24 000 per month for a period that the Court would determine. The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which was a motor vehicle dealer,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 in which it claimed that it was the registered co–owner of the vehicle, and that it had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into a hire-purchase agreement with the Respondent. It was claimed that the Respondent failed to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 its hire charges thus leading to the sale, of which the Respondent was well aware.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close of pleadings, the Appellant’s counsel applied to cease acting but later withdrew the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The Respondent then fixed the suit for hearing and served the Appellant’s counsel. The suit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 the absence of the Appellant and his counsel. Judgment was granted for the value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motor vehicle and for loss of user for three-and-a-half months. The Appellant subsequently learnt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judgment and applied to have it set aside. It claimed that it had not been informed by its counsel of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trial date, and that it had a good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suit.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to set aside judgment was dismissed by the trial Magistrate. The Appellant’s appeal to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was also dismissed, leading to the filing of a second appeal to the Court of Appeal. It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argued that the trial court had erred in giving substantive judgment in the absence of sufficient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and in failing to give the Appellant an opportunity to be heard.</w:t>
      </w:r>
      <w:r w:rsidR="00FE1454">
        <w:rPr>
          <w:rFonts w:ascii="Times New Roman" w:hAnsi="Times New Roman" w:cs="Times New Roman"/>
          <w:color w:val="000000"/>
        </w:rPr>
        <w:t xml:space="preserve"> </w:t>
      </w:r>
    </w:p>
    <w:p w:rsidR="00FE1454" w:rsidRDefault="00FE1454" w:rsidP="00FE1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81B7D" w:rsidRDefault="00A81B7D" w:rsidP="00FE1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trial court should exercise its discretion in an application to set aside judgment judiciously. On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from that decision, the appellate court would not interfere with the exercise of that discretion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exercise of the same discretion was wrong in principle or the court had acted perversely on the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Stores v Pepco Distributors </w:t>
      </w:r>
      <w:r>
        <w:rPr>
          <w:rFonts w:ascii="Times New Roman" w:hAnsi="Times New Roman" w:cs="Times New Roman"/>
          <w:color w:val="000000"/>
        </w:rPr>
        <w:t>[1988–92] 2 KAR 89 followed).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litigant who suffers loss through the mistake of counsel can obtain recourse through suing his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former counsel. However where the litigant has not deliberately sought to obstruct or to delay the cause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justice,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should be set aside to avoid injustice or hardship resulting from accident,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inadvertence or excusable mistake or error (</w:t>
      </w:r>
      <w:r>
        <w:rPr>
          <w:rFonts w:ascii="Times New Roman" w:hAnsi="Times New Roman" w:cs="Times New Roman"/>
          <w:i/>
          <w:iCs/>
          <w:color w:val="000000"/>
        </w:rPr>
        <w:t xml:space="preserve">Shah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[1967] EA 116 approved). By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failing to use her discretion to consider whether the Appellant’s non-attendance on the trial date was an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excusable mistake, the trial court wrongly drove the Appellant out of the seat of justice empty-handed.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exercising its setting aside discretion, the trial court should also consider whether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 or the draft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reasonable and whether it raises triable issues (</w:t>
      </w:r>
      <w:r>
        <w:rPr>
          <w:rFonts w:ascii="Times New Roman" w:hAnsi="Times New Roman" w:cs="Times New Roman"/>
          <w:i/>
          <w:iCs/>
          <w:color w:val="000000"/>
        </w:rPr>
        <w:t>Tree Shade Motors Ltd v DT</w:t>
      </w:r>
      <w:r w:rsidR="00FE145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Dobie and Company (Kenya) Ltd and another </w:t>
      </w:r>
      <w:r>
        <w:rPr>
          <w:rFonts w:ascii="Times New Roman" w:hAnsi="Times New Roman" w:cs="Times New Roman"/>
          <w:color w:val="000000"/>
        </w:rPr>
        <w:t xml:space="preserve">[1995–1998] 1 EA 324 followed; </w:t>
      </w:r>
      <w:r>
        <w:rPr>
          <w:rFonts w:ascii="Times New Roman" w:hAnsi="Times New Roman" w:cs="Times New Roman"/>
          <w:i/>
          <w:iCs/>
          <w:color w:val="000000"/>
        </w:rPr>
        <w:t>Patel v Cargo Handling</w:t>
      </w:r>
      <w:r w:rsidR="00FE145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Services Ltd </w:t>
      </w:r>
      <w:r>
        <w:rPr>
          <w:rFonts w:ascii="Times New Roman" w:hAnsi="Times New Roman" w:cs="Times New Roman"/>
          <w:color w:val="000000"/>
        </w:rPr>
        <w:t>[1974] EA 75 approved). The trial court in this case had failed to look at the matter afresh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considering the pleadings before it to see if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triable issue was raised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the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counterclaim.</w:t>
      </w:r>
      <w:r w:rsidR="00FE14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upheld.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set aside.</w:t>
      </w:r>
    </w:p>
    <w:p w:rsidR="00FE1454" w:rsidRDefault="00FE1454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Magunga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Stores v Pepco Distributors </w:t>
      </w:r>
      <w:r>
        <w:rPr>
          <w:rFonts w:ascii="Times New Roman" w:hAnsi="Times New Roman" w:cs="Times New Roman"/>
          <w:color w:val="000000"/>
        </w:rPr>
        <w:t xml:space="preserve">[1987] 2 KAR 89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>
        <w:rPr>
          <w:rFonts w:ascii="Times New Roman" w:hAnsi="Times New Roman" w:cs="Times New Roman"/>
          <w:color w:val="000000"/>
        </w:rPr>
        <w:t>[1968] EA 98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Cargo Handling Services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[1974] EA 75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[1967] EA 116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A81B7D" w:rsidRDefault="00A81B7D" w:rsidP="00A81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25 of [2004] 1 EA 23 (CAK)</w:t>
      </w:r>
    </w:p>
    <w:p w:rsidR="0021070D" w:rsidRDefault="00A81B7D" w:rsidP="00A81B7D">
      <w:r>
        <w:rPr>
          <w:rFonts w:ascii="Times New Roman" w:hAnsi="Times New Roman" w:cs="Times New Roman"/>
          <w:i/>
          <w:iCs/>
          <w:color w:val="000000"/>
        </w:rPr>
        <w:t xml:space="preserve">Tree Shade Motors Ltd v DT Dobie and Company (Kenya) Ltd and another </w:t>
      </w:r>
      <w:r>
        <w:rPr>
          <w:rFonts w:ascii="Times New Roman" w:hAnsi="Times New Roman" w:cs="Times New Roman"/>
          <w:color w:val="000000"/>
        </w:rPr>
        <w:t xml:space="preserve">[1995–1998] 1 EA 324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7D"/>
    <w:rsid w:val="0021070D"/>
    <w:rsid w:val="00A81B7D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F310F-222E-48BA-8824-8CC6AF7C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2018-07-04T13:33:00Z</dcterms:created>
  <dcterms:modified xsi:type="dcterms:W3CDTF">2018-07-12T07:50:00Z</dcterms:modified>
</cp:coreProperties>
</file>