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0D7" w:rsidRDefault="009A20D7" w:rsidP="009A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CMC Holdings Limited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Nzioki</w:t>
      </w:r>
      <w:proofErr w:type="spellEnd"/>
    </w:p>
    <w:p w:rsidR="009A20D7" w:rsidRDefault="009A20D7" w:rsidP="009A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9A20D7" w:rsidRDefault="009A20D7" w:rsidP="009A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12 March 2004</w:t>
      </w:r>
    </w:p>
    <w:p w:rsidR="009A20D7" w:rsidRDefault="009A20D7" w:rsidP="009A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329/01</w:t>
      </w:r>
    </w:p>
    <w:p w:rsidR="009A20D7" w:rsidRDefault="009A20D7" w:rsidP="009A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 and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9A20D7" w:rsidRDefault="009A20D7" w:rsidP="009A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A20D7" w:rsidRDefault="009A20D7" w:rsidP="009A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9A20D7" w:rsidRDefault="009A20D7" w:rsidP="009A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Advocate – Mistake – Suit proceeding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after advocate failed to inform litigant – Whether</w:t>
      </w:r>
    </w:p>
    <w:p w:rsidR="009A20D7" w:rsidRDefault="009A20D7" w:rsidP="009A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litigant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entitled to setting aside of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judgment.</w:t>
      </w:r>
    </w:p>
    <w:p w:rsidR="009A20D7" w:rsidRDefault="009A20D7" w:rsidP="009A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Civil procedure – Setting aside – Suit proceeding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after advocate withdrew from acting but</w:t>
      </w:r>
    </w:p>
    <w:p w:rsidR="009A20D7" w:rsidRDefault="009A20D7" w:rsidP="009A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failed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inform defendant – Whether defendant entitled to setting aside – Factors to be considered by</w:t>
      </w:r>
    </w:p>
    <w:p w:rsidR="009A20D7" w:rsidRDefault="009A20D7" w:rsidP="009A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trial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court.</w:t>
      </w:r>
    </w:p>
    <w:p w:rsidR="009A20D7" w:rsidRDefault="00346453" w:rsidP="003464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346453" w:rsidRDefault="009A20D7" w:rsidP="00346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Tunoi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 and Onyango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Otieno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AJA: </w:t>
      </w:r>
      <w:r>
        <w:rPr>
          <w:rFonts w:ascii="Times New Roman" w:hAnsi="Times New Roman" w:cs="Times New Roman"/>
          <w:color w:val="000000"/>
        </w:rPr>
        <w:t>This is a second appeal. The Respondent, who was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 in the Resident Magistrate’s Court and the Respondent in the superior court, James </w:t>
      </w:r>
      <w:proofErr w:type="spellStart"/>
      <w:r>
        <w:rPr>
          <w:rFonts w:ascii="Times New Roman" w:hAnsi="Times New Roman" w:cs="Times New Roman"/>
          <w:color w:val="000000"/>
        </w:rPr>
        <w:t>Mumo</w:t>
      </w:r>
      <w:proofErr w:type="spellEnd"/>
      <w:r w:rsidR="0034645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Nzioki</w:t>
      </w:r>
      <w:proofErr w:type="spellEnd"/>
      <w:r>
        <w:rPr>
          <w:rFonts w:ascii="Times New Roman" w:hAnsi="Times New Roman" w:cs="Times New Roman"/>
          <w:color w:val="000000"/>
        </w:rPr>
        <w:t xml:space="preserve"> (to whom we shall refer as “the Respondent”) sued the Appellant, CMC Holdings Limited (to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company we shall refer as “the Appellant”) by way of a plaint dated 9 September 1988. In that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plaint, the Respondent claimed special damages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40 000, being the value of the subject motor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vehicle; such other special damages as would be determined by court under paragraph 6(b) of the same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plaint; general damages; such other damages and general damages; plus costs of the suit. Such other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damages according to paragraph 6(b) referred to loss of profit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24 000 per month for a period that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would determine. The allegations giving rise to these claims as can be discerned from the plaint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that the Respondent was at all material times the owner of a new motor vehicle registration number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KTP 171 Mitsubishi pick-up while the Appellant was a dealer in motor vehicles and motor vehicle spare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parts as well as a motor vehicle repairer. </w:t>
      </w:r>
      <w:proofErr w:type="spellStart"/>
      <w:r>
        <w:rPr>
          <w:rFonts w:ascii="Times New Roman" w:hAnsi="Times New Roman" w:cs="Times New Roman"/>
          <w:color w:val="000000"/>
        </w:rPr>
        <w:t>Some time</w:t>
      </w:r>
      <w:proofErr w:type="spellEnd"/>
      <w:r>
        <w:rPr>
          <w:rFonts w:ascii="Times New Roman" w:hAnsi="Times New Roman" w:cs="Times New Roman"/>
          <w:color w:val="000000"/>
        </w:rPr>
        <w:t xml:space="preserve"> after 17 May 1985, the Appellant sold or caused to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sold the Plaintiff’s said motor vehicle to a third party unknown to the Respondent. The Respondent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that the Appellant converted the same motor vehicle to its own use and thus wrongfully deprived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of the same motor vehicle.</w:t>
      </w:r>
      <w:r w:rsidR="00346453">
        <w:rPr>
          <w:rFonts w:ascii="Times New Roman" w:hAnsi="Times New Roman" w:cs="Times New Roman"/>
          <w:color w:val="000000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filed a memorandum of appearance,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counterclaim. In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stated that it was a registered co-owner of the said vehicle. It claimed that by an express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dated 23 February 1984, between the Respondent and the Appellant, it (the Appellant) paid a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20 254</w:t>
      </w:r>
      <w:proofErr w:type="gramStart"/>
      <w:r>
        <w:rPr>
          <w:rFonts w:ascii="Times New Roman" w:hAnsi="Times New Roman" w:cs="Times New Roman"/>
          <w:color w:val="000000"/>
        </w:rPr>
        <w:t>,30</w:t>
      </w:r>
      <w:proofErr w:type="gramEnd"/>
      <w:r>
        <w:rPr>
          <w:rFonts w:ascii="Times New Roman" w:hAnsi="Times New Roman" w:cs="Times New Roman"/>
          <w:color w:val="000000"/>
        </w:rPr>
        <w:t xml:space="preserve"> on behalf of the Respondent on 23 February 1984, being repair charges and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insurance premiums. That agreement was agreed to act as an extension of an earlier hire-purchase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agreement. The Appellant alleged in that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counterclaim that that agreement stipulated that the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was to refund the same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20 254</w:t>
      </w:r>
      <w:proofErr w:type="gramStart"/>
      <w:r>
        <w:rPr>
          <w:rFonts w:ascii="Times New Roman" w:hAnsi="Times New Roman" w:cs="Times New Roman"/>
          <w:color w:val="000000"/>
        </w:rPr>
        <w:t>,30</w:t>
      </w:r>
      <w:proofErr w:type="gramEnd"/>
      <w:r>
        <w:rPr>
          <w:rFonts w:ascii="Times New Roman" w:hAnsi="Times New Roman" w:cs="Times New Roman"/>
          <w:color w:val="000000"/>
        </w:rPr>
        <w:t xml:space="preserve"> to the Appellant by way of monthly instalments of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6 751,45 with effect from 23 March 1984 till payment in full failing which the Appellant was at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liberty to sell the motor vehicle to recover the money owed. The Respondent breached the said agreement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paid only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4 500 and hence the seizure and sale of the same vehicle which the Appellant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contended, was done with the full knowledge of the Respondent after having been given several notices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pay the same. The Appellant further alleged in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subject motor vehicle was valued at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21 000. In the counterclaim, the Appellant alleged that the Respondent owed it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19 149,30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the balance of the sum incurred by it on behalf of the Respondent together with interest and further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10 495,30, being repossession charges and legal fees although interestingly, when it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came to the actual prayers, the Appellant prayed for the total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19 149,30, costs of the suit;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general damages for breach of contract and interest on the sum claimed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19 149,30 and on costs.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say “interestingly” in regard to the prayers because, if we were to go by the pleadings in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counterclaim, one would conclude that the Appellant was claiming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19 149</w:t>
      </w:r>
      <w:proofErr w:type="gramStart"/>
      <w:r>
        <w:rPr>
          <w:rFonts w:ascii="Times New Roman" w:hAnsi="Times New Roman" w:cs="Times New Roman"/>
          <w:color w:val="000000"/>
        </w:rPr>
        <w:t>,30</w:t>
      </w:r>
      <w:proofErr w:type="gramEnd"/>
      <w:r>
        <w:rPr>
          <w:rFonts w:ascii="Times New Roman" w:hAnsi="Times New Roman" w:cs="Times New Roman"/>
          <w:color w:val="000000"/>
        </w:rPr>
        <w:t xml:space="preserve"> being the balance of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sum incurred by it on behalf of the Respondent plus special damages in respect of repossession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charges (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3 495) and legal fees (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7 000) making a total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29 644,30. That is what one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expected to be claimed in prayers but for some unknown reasons, the prayers in the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counterclaim did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not touch on the special damages as pleaded in the counterclaim. Be that as it may, there was a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counterclaim put forward by </w:t>
      </w:r>
      <w:r>
        <w:rPr>
          <w:rFonts w:ascii="Times New Roman" w:hAnsi="Times New Roman" w:cs="Times New Roman"/>
          <w:color w:val="000000"/>
        </w:rPr>
        <w:lastRenderedPageBreak/>
        <w:t>the Appellant.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the same counterclaim in which he denied the counterclaim and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maintained that there could not exist a hire-purchase agreement for supply of or sale of spare parts. He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counterclaim was bad in law and should be struck out and that the Appellant’s claim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special damages was too remote and unrecoverable.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the suit was heard, the firm of advocates, then acting for the Appellant, VA </w:t>
      </w:r>
      <w:proofErr w:type="spellStart"/>
      <w:r>
        <w:rPr>
          <w:rFonts w:ascii="Times New Roman" w:hAnsi="Times New Roman" w:cs="Times New Roman"/>
          <w:color w:val="000000"/>
        </w:rPr>
        <w:t>Nyamodi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Company, are on record as having applied to be granted leave to withdraw from acting for the Appellant.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application was dated 11 May 1989. The same application came up for hearing on 30 October 1989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on that date, the application was withdrawn and the suit then came up for hearing on 14 December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1989. On that date, the record shows that both parties attended court, but the hearing did not proceed. No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reasons were recorded for the adjournment but hearing was stood over generally and parties were to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 costs of adjournment fee, which was to be paid before the next hearing date. The next hearing date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15 May 1992. That date was fixed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by the Respondent’s advocates and notice was to issue to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Appellant. On that date, the Respondent appeared in person but his counsel was not present. It is not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whether the Appellant was served with the hearing notice or not but the Court stood over the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 generally and ordered the Respondent to pay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600 court adjournment fees forthwith. The suit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later set down for hearing on 15 December 1993. On that day, the record shows that the Respondent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present in person, but the Appellant was absent, though served. There is nothing to show that the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Respondent’s counsel was present. However, in that day,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Rashid, the Learned Senior Magistrate,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heard the case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and having heard evidence of one witness, namely the Respondent, she reserved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which was to be delivered on 17 December 1993 but was delivered on 21 December 1993. In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short judgment, the Learned Magistrate stated as follows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“On the basis of the documents produced, I find that the Plaintiff’s motor vehicle was unlawfully sold and the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Defendant is liable to pay damages to the Plaintiff. Consequently, I dismiss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counterclaim in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view of the receipts produced showing that he had completed payments; I enter judgment in favour of the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Plaintiff 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40 000 being the value of the motor vehicle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non user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3 1/2 months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24 000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per month making daily net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800 and there is a receipt to show that. There shall be judgment in favour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the Plaintiff 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124 000 plus costs and interest”.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Respondent, having obtained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judgment, apparently contacted Easter Kenya Auctioneers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the decree executed and the same auctioneers attempted to attach the Appellant’s property on 18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February 1994 to satisfy the decree. The Appellant, on learning of the developments in the case, felt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aggrieved and filed chamber summons dated 18 February 1994 on 24 February 1994 under certificate of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urgency. In that chamber summons, the Appellant sought two orders, namely that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entered on 21 December 1993 and all consequential orders be set aside </w:t>
      </w:r>
      <w:r>
        <w:rPr>
          <w:rFonts w:ascii="Times New Roman" w:hAnsi="Times New Roman" w:cs="Times New Roman"/>
          <w:i/>
          <w:iCs/>
          <w:color w:val="000000"/>
        </w:rPr>
        <w:t xml:space="preserve">ex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debitio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justitio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a stay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execution be granted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at the first instance. Costs were also sought to be provided for. The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grounds for that application were that VA </w:t>
      </w:r>
      <w:proofErr w:type="spellStart"/>
      <w:r>
        <w:rPr>
          <w:rFonts w:ascii="Times New Roman" w:hAnsi="Times New Roman" w:cs="Times New Roman"/>
          <w:color w:val="000000"/>
        </w:rPr>
        <w:t>Nyamodi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 Advocates who had been acting for the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did seek leave to cease acting for the Appellant and did not serve the application or the order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the Defendant; that the Respondent did not inform the Appellant of the hearing date and the matter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proceeded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; and that the Appellant had a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cogent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the suit. The affidavit in support of the same application was sworn by the company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secretary IA </w:t>
      </w:r>
      <w:proofErr w:type="spellStart"/>
      <w:r>
        <w:rPr>
          <w:rFonts w:ascii="Times New Roman" w:hAnsi="Times New Roman" w:cs="Times New Roman"/>
          <w:color w:val="000000"/>
        </w:rPr>
        <w:t>Musotsi</w:t>
      </w:r>
      <w:proofErr w:type="spellEnd"/>
      <w:r>
        <w:rPr>
          <w:rFonts w:ascii="Times New Roman" w:hAnsi="Times New Roman" w:cs="Times New Roman"/>
          <w:color w:val="000000"/>
        </w:rPr>
        <w:t xml:space="preserve"> and the same affidavit highlighted the grounds in support of the application and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mainly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</w:t>
      </w:r>
      <w:proofErr w:type="spellStart"/>
      <w:r>
        <w:rPr>
          <w:rFonts w:ascii="Times New Roman" w:hAnsi="Times New Roman" w:cs="Times New Roman"/>
          <w:color w:val="000000"/>
        </w:rPr>
        <w:t>Nyamodi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Company, Advocates’ last communication with the Appellant was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they told the Appellant that they were withdrawing from acting for the Appellant. Since then,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neither the Respondent nor the same advocates had communicated to the Appellant and that the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had a good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the suit. The deponent then gave details of what it felt was a good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The Learned Magistrate on hearing the application made under certificate of urgency granted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interim stay of execution until 3 March 1994 when the matter was set down for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hearing. In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meantime, the Respondent who did not file a replying affidavit filed a notice of objection dated 12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February 1994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 on 2 March 1994. It looks odd that the notice of objection was dated 12 February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1994 and it was objecting to an application filed on 18 February 1994. We can only imagine that there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some typographical error on the date of that notice of objection. We do not attach any importance to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apparent disparity and we treat it as an error on the face of the record. The chamber summons came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 for hearing before the same Learned Magistrate,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Rashid on the same date 3 March 1994 and after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would appear to have been a lengthy hearing, the Learned Magistrate delivered a short ruling on 19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April 1994 in which she stated as follows: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Ruling</w:t>
      </w:r>
      <w:r w:rsidR="0034645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is an application to have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judgment set aside because there are triable issues and the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Defendants former counsel was negligent in not informing the Defendant of the hearing date.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Counsel has cited various authorities, but I find that the Defendant was duly served and if he has any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grievances, he has recourse in law in suing his former counsel for professional negligence and on that basis, I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dismiss the application with costs”.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That is the ruling that gave rise to the first appeal to the superior court as the Appellant felt aggrieved by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decision of the Learned Magistrate. Together with this memorandum of appeal dated 20 April 1994,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also filed application for stay of execution dated 20 April 1994 which we think was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wrongly drafted as it stated that the order sought was that “execution of the decree and orders made on 19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April 1994 Resident Magistrate Court case number 5185 of 1998 at </w:t>
      </w:r>
      <w:proofErr w:type="spellStart"/>
      <w:r>
        <w:rPr>
          <w:rFonts w:ascii="Times New Roman" w:hAnsi="Times New Roman" w:cs="Times New Roman"/>
          <w:color w:val="000000"/>
        </w:rPr>
        <w:t>Sheria</w:t>
      </w:r>
      <w:proofErr w:type="spellEnd"/>
      <w:r>
        <w:rPr>
          <w:rFonts w:ascii="Times New Roman" w:hAnsi="Times New Roman" w:cs="Times New Roman"/>
          <w:color w:val="000000"/>
        </w:rPr>
        <w:t xml:space="preserve"> House be granted until the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of the appeal”. We again feel this was clearly a typographical error and we note that the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 proceeded with the application on the basis that it was an application for stay of execution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until the determination of the appeal. We will say no more on the same.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After hearing the appeal, the Learned Judge of the superior court </w:t>
      </w:r>
      <w:proofErr w:type="spellStart"/>
      <w:r>
        <w:rPr>
          <w:rFonts w:ascii="Times New Roman" w:hAnsi="Times New Roman" w:cs="Times New Roman"/>
          <w:color w:val="000000"/>
        </w:rPr>
        <w:t>Aluoch</w:t>
      </w:r>
      <w:proofErr w:type="spellEnd"/>
      <w:r>
        <w:rPr>
          <w:rFonts w:ascii="Times New Roman" w:hAnsi="Times New Roman" w:cs="Times New Roman"/>
          <w:color w:val="000000"/>
        </w:rPr>
        <w:t xml:space="preserve"> J in dismissing the appeal,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stated as follows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“From my own independent evaluation of the evidence on record, I find that the Defendants claim in the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counter claim would appear to have been satisfied, considering the payments made as appearing in the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of the Plaintiff and judgment by the Learned Magistrate.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the application to set aside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Judgment, the magistrate was satisfied that the Defendant was served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having earlier in the judgment found that the Plaintiff’s motor vehicle was unlawfully sold and the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 triable to pay damages.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 find that the magistrate exercised her discretion rightly in refusing to set aside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 because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she had dismissed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counter-claim, on the evidence adduced before her as the monies paid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towards the claim in the Defendant’s counter-claim.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considered the submissions of both learned counsel on appeal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however, I find no merit in the appeal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filed and I proceed to dismiss the same with costs to the Respondent who is the Plaintiff in the lower court”.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again felt aggrieved and filed this appeal before us which as we have said hereinabove is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appeal. Seven grounds of appeal have been raised. These are that:</w:t>
      </w:r>
      <w:r w:rsidR="003464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 The Learned trial Judge erred in law in not adjudicating the issues raised in the appeal.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46453" w:rsidRDefault="009A20D7" w:rsidP="00346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in not appreciating sufficient or at all that no evidence on the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value of the vehicle had been tendered to the trial court.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46453" w:rsidRDefault="009A20D7" w:rsidP="00346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in not appreciating sufficiently or at all that the daily earning of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800 for 3 1/2 months had neither been pleaded nor specifically proved.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46453" w:rsidRDefault="009A20D7" w:rsidP="00346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in not holding that on the evidence adduced by the Respondent,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Respondents’ suit ought to have been dismissed.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46453" w:rsidRDefault="009A20D7" w:rsidP="00346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in not appreciating sufficiently or at all that the Appellant was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deprived an opportunity to be heard.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46453" w:rsidRDefault="009A20D7" w:rsidP="00346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in not appreciating sufficiently or at all the jurisdiction conferred</w:t>
      </w:r>
      <w:r w:rsidR="003464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upon the court on an application seeking to set aside an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judgment.</w:t>
      </w:r>
    </w:p>
    <w:p w:rsidR="009A20D7" w:rsidRDefault="00346453" w:rsidP="00346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A20D7">
        <w:rPr>
          <w:rFonts w:ascii="Times New Roman" w:hAnsi="Times New Roman" w:cs="Times New Roman"/>
          <w:color w:val="000000"/>
          <w:sz w:val="20"/>
          <w:szCs w:val="20"/>
        </w:rPr>
        <w:t xml:space="preserve">7.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9A20D7"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in awarding relief that was neither sought nor canvassed by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A20D7">
        <w:rPr>
          <w:rFonts w:ascii="Times New Roman" w:hAnsi="Times New Roman" w:cs="Times New Roman"/>
          <w:color w:val="000000"/>
          <w:sz w:val="20"/>
          <w:szCs w:val="20"/>
        </w:rPr>
        <w:t>parties”.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We have considered the appeal as well as the able submissions by the learned counsel. In our view,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grounds of appeal can be divided in two categories. The first category is composed of the grounds against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the substantive decision of the </w:t>
      </w:r>
      <w:r>
        <w:rPr>
          <w:rFonts w:ascii="Times New Roman" w:hAnsi="Times New Roman" w:cs="Times New Roman"/>
          <w:color w:val="000000"/>
        </w:rPr>
        <w:t>learned</w:t>
      </w:r>
      <w:r w:rsidR="009A20D7">
        <w:rPr>
          <w:rFonts w:ascii="Times New Roman" w:hAnsi="Times New Roman" w:cs="Times New Roman"/>
          <w:color w:val="000000"/>
        </w:rPr>
        <w:t xml:space="preserve"> trial Magistrate. This aspect is covered by the first, third, fourth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and seventh grounds of appeal. The second category is composed of the grounds for the appeal against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the decision of the trial court to dismiss the application seeking to set aside the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>judgment. These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are covered by grounds 2, 5 and 6. In our minds, there are two distinct aspects of this appeal and for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reasons which will be clear later in this judgment, we propose to consider first, the aspect of the appeal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that challenges refusal by the Learned Senior Resident Magistrate to set aside the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>judgment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delivered on 21 December 1993 and the endorsement by the superior court’s decision dated 31 July 2000.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We are fully aware that in an application before a court to set aside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>judgment, the court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exercises its discretion in allowing or rejecting the same. That discretion must be exercised upon reasons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and must be exercised judiciously. On appeal from that decision, the appellate court would not interfere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with the exercise of that discretion unless the exercise of the same discretion was wrong in principle or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the court acted perversely on the facts. This is trite law and there are many decided cases in support of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the proposition. One such authority is that of </w:t>
      </w:r>
      <w:proofErr w:type="spellStart"/>
      <w:r w:rsidR="009A20D7">
        <w:rPr>
          <w:rFonts w:ascii="Times New Roman" w:hAnsi="Times New Roman" w:cs="Times New Roman"/>
          <w:i/>
          <w:iCs/>
          <w:color w:val="000000"/>
        </w:rPr>
        <w:t>Magunga</w:t>
      </w:r>
      <w:proofErr w:type="spellEnd"/>
      <w:r w:rsidR="009A20D7">
        <w:rPr>
          <w:rFonts w:ascii="Times New Roman" w:hAnsi="Times New Roman" w:cs="Times New Roman"/>
          <w:i/>
          <w:iCs/>
          <w:color w:val="000000"/>
        </w:rPr>
        <w:t xml:space="preserve"> General Stores v Pepco Distributors </w:t>
      </w:r>
      <w:r w:rsidR="009A20D7">
        <w:rPr>
          <w:rFonts w:ascii="Times New Roman" w:hAnsi="Times New Roman" w:cs="Times New Roman"/>
          <w:color w:val="000000"/>
        </w:rPr>
        <w:t>[1987] 2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KAR 89 to which we were referred and in which this Court stated as follows: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  <w:sz w:val="20"/>
          <w:szCs w:val="20"/>
        </w:rPr>
        <w:t>“The court on an appeal will not interfere with the exercise of a discretion on an application for summary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A20D7">
        <w:rPr>
          <w:rFonts w:ascii="Times New Roman" w:hAnsi="Times New Roman" w:cs="Times New Roman"/>
          <w:color w:val="000000"/>
          <w:sz w:val="20"/>
          <w:szCs w:val="20"/>
        </w:rPr>
        <w:t>judgment unless the exercise was wrong in principle or the Judge acted perversely on the facts”.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In this case, the trial court, as we have stated above heard the case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 xml:space="preserve">on grounds </w:t>
      </w:r>
      <w:r w:rsidR="009A20D7">
        <w:rPr>
          <w:rFonts w:ascii="Times New Roman" w:hAnsi="Times New Roman" w:cs="Times New Roman"/>
          <w:color w:val="000000"/>
        </w:rPr>
        <w:lastRenderedPageBreak/>
        <w:t>that the Appellant,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though served with the hearing notice did not attend court on the hearing date. There was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and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counterclaim on record and from the judgment she delivered, it would appear that she came to the same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decision on the basis of what the Respondent told her in the only evidence she recorded at the hearing of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the suit. When the Appellant applied to have the same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>judgment set aside, she rejected the same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application and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dismissed it on grounds that as she found that the Defendant was duly served, if it had any grievances its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recourse in law was in suing its former counsel. The Learned Magistrate was alive to the uncontroverted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evidence in the supporting affidavit of the Appellant that the Appellant was purportedly served through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its advocate and its complaint was that the same advocate did not inform it of the hearing date. That is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why the Learned Magistrate was of the opinion that the Appellant’s recourse in law was only in suing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former counsel. We readily agree that the Appellant could sue its former counsel in case of negligence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(though we note that the Appellant could not be right that by the time the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>hearing was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proceeding, </w:t>
      </w:r>
      <w:proofErr w:type="spellStart"/>
      <w:r w:rsidR="009A20D7">
        <w:rPr>
          <w:rFonts w:ascii="Times New Roman" w:hAnsi="Times New Roman" w:cs="Times New Roman"/>
          <w:color w:val="000000"/>
        </w:rPr>
        <w:t>Nyamodi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and Company Advocates had ceased acting for the Appellant, as it is clear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their application to withdraw from acting for the Appellant was in itself withdrawn on 30 October 1989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so that as on 15 December 1993 that firm of advocates was still on record as acting for the Appellant and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thus it was rightly served with hearing notice) but two matters arise from the same decision which are in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our humble opinion, fairly disturbing. These are first, whether, it having been established through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Appellant’s affidavits which were not challenged that the Respondent was served through its advocates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who did not inform it about the hearing date, the Respondent could be said to have deliberately sought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(whether by evasion or otherwise) to obstruct or delay the cause of justice or whether the Respondent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found itself in hardship resulting from excusable mistake. We pose this question because, we feel it is a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matter of law as to under what circumstances a court should exercise its discretion and </w:t>
      </w:r>
      <w:proofErr w:type="gramStart"/>
      <w:r w:rsidR="009A20D7">
        <w:rPr>
          <w:rFonts w:ascii="Times New Roman" w:hAnsi="Times New Roman" w:cs="Times New Roman"/>
          <w:color w:val="000000"/>
        </w:rPr>
        <w:t>what was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intention of law in giving the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court </w:t>
      </w:r>
      <w:r w:rsidR="009A20D7">
        <w:rPr>
          <w:rFonts w:ascii="Times New Roman" w:hAnsi="Times New Roman" w:cs="Times New Roman"/>
          <w:color w:val="000000"/>
        </w:rPr>
        <w:t>such discretionary power</w:t>
      </w:r>
      <w:proofErr w:type="gramEnd"/>
      <w:r w:rsidR="009A20D7">
        <w:rPr>
          <w:rFonts w:ascii="Times New Roman" w:hAnsi="Times New Roman" w:cs="Times New Roman"/>
          <w:color w:val="000000"/>
        </w:rPr>
        <w:t>. The record, part of which we have referred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to in this judgment, shows that the Appellant filed appearance,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and counterclaim within the time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allowed by the law and it appeared for hearing on 14 December 1998 when the hearing could not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proceed. These would tend to show that the Appellant was interested in the case. Its explanation as to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why it did not appear on the date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>hearing proceeded was not challenged as we have said, as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indeed the Respondent did not file any replying affidavit, and further, the </w:t>
      </w:r>
      <w:proofErr w:type="gramStart"/>
      <w:r w:rsidR="009A20D7">
        <w:rPr>
          <w:rFonts w:ascii="Times New Roman" w:hAnsi="Times New Roman" w:cs="Times New Roman"/>
          <w:color w:val="000000"/>
        </w:rPr>
        <w:t>Learned</w:t>
      </w:r>
      <w:proofErr w:type="gramEnd"/>
      <w:r w:rsidR="009A20D7">
        <w:rPr>
          <w:rFonts w:ascii="Times New Roman" w:hAnsi="Times New Roman" w:cs="Times New Roman"/>
          <w:color w:val="000000"/>
        </w:rPr>
        <w:t xml:space="preserve"> trial Magistrate also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appeared to have accepted that explanation. Under these circumstances, we do not think the Appellant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deliberately sought to obstruct or to delay the cause of justice. In the case of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Shah v </w:t>
      </w:r>
      <w:proofErr w:type="spellStart"/>
      <w:r w:rsidR="009A20D7">
        <w:rPr>
          <w:rFonts w:ascii="Times New Roman" w:hAnsi="Times New Roman" w:cs="Times New Roman"/>
          <w:i/>
          <w:iCs/>
          <w:color w:val="000000"/>
        </w:rPr>
        <w:t>Mbogo</w:t>
      </w:r>
      <w:proofErr w:type="spellEnd"/>
      <w:r w:rsidR="009A20D7">
        <w:rPr>
          <w:rFonts w:ascii="Times New Roman" w:hAnsi="Times New Roman" w:cs="Times New Roman"/>
          <w:i/>
          <w:iCs/>
          <w:color w:val="000000"/>
        </w:rPr>
        <w:t xml:space="preserve"> and another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[1967] EA 116 decided by the High Court of Kenya at Nairobi it was held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inter alia </w:t>
      </w:r>
      <w:r w:rsidR="009A20D7">
        <w:rPr>
          <w:rFonts w:ascii="Times New Roman" w:hAnsi="Times New Roman" w:cs="Times New Roman"/>
          <w:color w:val="000000"/>
        </w:rPr>
        <w:t>as follows: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  <w:sz w:val="20"/>
          <w:szCs w:val="20"/>
        </w:rPr>
        <w:t xml:space="preserve">“(iv) Applying the principle that the court’s discretion to set aside an </w:t>
      </w:r>
      <w:r w:rsidR="009A20D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 w:rsidR="009A20D7">
        <w:rPr>
          <w:rFonts w:ascii="Times New Roman" w:hAnsi="Times New Roman" w:cs="Times New Roman"/>
          <w:color w:val="000000"/>
          <w:sz w:val="20"/>
          <w:szCs w:val="20"/>
        </w:rPr>
        <w:t>judgment is intended to be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A20D7">
        <w:rPr>
          <w:rFonts w:ascii="Times New Roman" w:hAnsi="Times New Roman" w:cs="Times New Roman"/>
          <w:color w:val="000000"/>
          <w:sz w:val="20"/>
          <w:szCs w:val="20"/>
        </w:rPr>
        <w:t>exercised to avoid injustice or hardship resulting from accident, inadvertence, or excusable mistake 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A20D7">
        <w:rPr>
          <w:rFonts w:ascii="Times New Roman" w:hAnsi="Times New Roman" w:cs="Times New Roman"/>
          <w:color w:val="000000"/>
          <w:sz w:val="20"/>
          <w:szCs w:val="20"/>
        </w:rPr>
        <w:t>error, but not to assist a person who has deliberately sought (whether by evasion or otherwise) 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A20D7">
        <w:rPr>
          <w:rFonts w:ascii="Times New Roman" w:hAnsi="Times New Roman" w:cs="Times New Roman"/>
          <w:color w:val="000000"/>
          <w:sz w:val="20"/>
          <w:szCs w:val="20"/>
        </w:rPr>
        <w:t>obstruct or delay the cause by justice, the motion should be refused”.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The above was upheld by the Court of Appeal in its decision in </w:t>
      </w:r>
      <w:proofErr w:type="spellStart"/>
      <w:r w:rsidR="009A20D7">
        <w:rPr>
          <w:rFonts w:ascii="Times New Roman" w:hAnsi="Times New Roman" w:cs="Times New Roman"/>
          <w:i/>
          <w:iCs/>
          <w:color w:val="000000"/>
        </w:rPr>
        <w:t>Mbogo</w:t>
      </w:r>
      <w:proofErr w:type="spellEnd"/>
      <w:r w:rsidR="009A20D7">
        <w:rPr>
          <w:rFonts w:ascii="Times New Roman" w:hAnsi="Times New Roman" w:cs="Times New Roman"/>
          <w:i/>
          <w:iCs/>
          <w:color w:val="000000"/>
        </w:rPr>
        <w:t xml:space="preserve"> and another v Shah </w:t>
      </w:r>
      <w:r w:rsidR="009A20D7">
        <w:rPr>
          <w:rFonts w:ascii="Times New Roman" w:hAnsi="Times New Roman" w:cs="Times New Roman"/>
          <w:color w:val="000000"/>
        </w:rPr>
        <w:t>[1968] EA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98. Our view is that in law, the discretion that a court of law has, in deciding whether or not to set aside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>order such as before us was meant to ensure that a litigant does not suffer injustice or hardship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as a result of among other things an excusable mistake or error. It would in our mind not be a proper use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of such discretion if the court turns its back to a litigant who clearly demonstrates such an excusable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mistake, inadvertence, accident or error. Such an exercise of discretion would in our mind be wrong in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principle. In the case before us, it is our view that the Learned Magistrate did not exercise her discretion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properly when she failed to address herself as to whether the Appellant’s unchallenged allegation that its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counsel did not inform it of the hearing date for the hearing that took place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>and hence it could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not appear was true or not and if true, the effect of the same on the </w:t>
      </w:r>
      <w:r w:rsidR="009A20D7"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judgment that was entered as a result of the non-appearance of the Appellant and on the entire suit. We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do not think the answer to that weighty issue was to advise the Appellant of the resource open to it, as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Learned Magistrate did here. In our view, in doing so, she drove the Appellant out of the seat of justice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empty-handed when it had what might have very well amounted to an excusable mistake visited upon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Appellant by its advocate.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The second disturbing matter, which arises from the decision of the Learned Magistrate in dismissing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the application for setting aside the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>judgment is that in so dismissing the same application, the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9A20D7">
        <w:rPr>
          <w:rFonts w:ascii="Times New Roman" w:hAnsi="Times New Roman" w:cs="Times New Roman"/>
          <w:color w:val="000000"/>
        </w:rPr>
        <w:t>Learned</w:t>
      </w:r>
      <w:proofErr w:type="gramEnd"/>
      <w:r w:rsidR="009A20D7">
        <w:rPr>
          <w:rFonts w:ascii="Times New Roman" w:hAnsi="Times New Roman" w:cs="Times New Roman"/>
          <w:color w:val="000000"/>
        </w:rPr>
        <w:t xml:space="preserve"> trial Magistrate does not appear to have considered whether or not the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which was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already on record was reasonable or raised triable issues. The law is now well settled that in an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application for setting aside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 xml:space="preserve">judgment, the court must consider not only </w:t>
      </w:r>
      <w:r w:rsidR="009A20D7">
        <w:rPr>
          <w:rFonts w:ascii="Times New Roman" w:hAnsi="Times New Roman" w:cs="Times New Roman"/>
          <w:color w:val="000000"/>
        </w:rPr>
        <w:lastRenderedPageBreak/>
        <w:t xml:space="preserve">reasons why the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was not filed or for that matter why the Applicant failed to turn up for hearing on the hearing date but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also whether the Applicant has reasonable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which is usually referred to as whether the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if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filed already or if a draft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is annexed to the application, raises triable issues. The case of </w:t>
      </w:r>
      <w:r w:rsidR="009A20D7">
        <w:rPr>
          <w:rFonts w:ascii="Times New Roman" w:hAnsi="Times New Roman" w:cs="Times New Roman"/>
          <w:i/>
          <w:iCs/>
          <w:color w:val="000000"/>
        </w:rPr>
        <w:t>Tree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Shade Motors Ltd v DT Dobie and Company (Kenya) Ltd and another </w:t>
      </w:r>
      <w:r w:rsidR="009A20D7">
        <w:rPr>
          <w:rFonts w:ascii="Times New Roman" w:hAnsi="Times New Roman" w:cs="Times New Roman"/>
          <w:color w:val="000000"/>
        </w:rPr>
        <w:t>[1995–1998] 1 EA 324 was a case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on an application to set aside a default judgment. However, the legal principles are the same as in a case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where an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>judgment is obtained for non-attendance of a party at the hearing of his case. In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case this Court stated as follows: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  <w:sz w:val="20"/>
          <w:szCs w:val="20"/>
        </w:rPr>
        <w:t xml:space="preserve">“The Learned Judge did not look at the draft </w:t>
      </w:r>
      <w:proofErr w:type="spellStart"/>
      <w:r w:rsidR="009A20D7"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  <w:sz w:val="20"/>
          <w:szCs w:val="20"/>
        </w:rPr>
        <w:t xml:space="preserve"> to see if it contained a valid or reasonable </w:t>
      </w:r>
      <w:proofErr w:type="spellStart"/>
      <w:r w:rsidR="009A20D7"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  <w:sz w:val="20"/>
          <w:szCs w:val="20"/>
        </w:rPr>
        <w:t xml:space="preserve"> to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A20D7">
        <w:rPr>
          <w:rFonts w:ascii="Times New Roman" w:hAnsi="Times New Roman" w:cs="Times New Roman"/>
          <w:color w:val="000000"/>
          <w:sz w:val="20"/>
          <w:szCs w:val="20"/>
        </w:rPr>
        <w:t xml:space="preserve">Plaintiff claim. Where a draft </w:t>
      </w:r>
      <w:proofErr w:type="spellStart"/>
      <w:r w:rsidR="009A20D7"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  <w:sz w:val="20"/>
          <w:szCs w:val="20"/>
        </w:rPr>
        <w:t xml:space="preserve"> is tendered with the application to set aside the default judgment,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A20D7">
        <w:rPr>
          <w:rFonts w:ascii="Times New Roman" w:hAnsi="Times New Roman" w:cs="Times New Roman"/>
          <w:color w:val="000000"/>
          <w:sz w:val="20"/>
          <w:szCs w:val="20"/>
        </w:rPr>
        <w:t xml:space="preserve">court is obliged to consider it to see if it raises a reasonable </w:t>
      </w:r>
      <w:proofErr w:type="spellStart"/>
      <w:r w:rsidR="009A20D7"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  <w:sz w:val="20"/>
          <w:szCs w:val="20"/>
        </w:rPr>
        <w:t xml:space="preserve"> to the Plaintiff’s claim. If it does,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A20D7">
        <w:rPr>
          <w:rFonts w:ascii="Times New Roman" w:hAnsi="Times New Roman" w:cs="Times New Roman"/>
          <w:color w:val="000000"/>
          <w:sz w:val="20"/>
          <w:szCs w:val="20"/>
        </w:rPr>
        <w:t xml:space="preserve">Defendant should be given leave to enter and </w:t>
      </w:r>
      <w:proofErr w:type="spellStart"/>
      <w:r w:rsidR="009A20D7"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  <w:sz w:val="20"/>
          <w:szCs w:val="20"/>
        </w:rPr>
        <w:t>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The decision in the case of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Patel v Cargo Handling Services Limited </w:t>
      </w:r>
      <w:r w:rsidR="009A20D7">
        <w:rPr>
          <w:rFonts w:ascii="Times New Roman" w:hAnsi="Times New Roman" w:cs="Times New Roman"/>
          <w:color w:val="000000"/>
        </w:rPr>
        <w:t>[1974] EA 75 though it is on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judgment entered under Order 9A is also on the same principles. Court has wide discretion in such cases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to set aside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 xml:space="preserve">judgment. In this case before us, the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and counterclaim were already in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file when the matter was heard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>and the trial Magistrate stated that she considered the same and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dismissed it. We do not appreciate how she could have dismissed the same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and counterclaim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when the Appellant was not in court to put forward its case. Further, it appears to us that certain matters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raised in the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were not considered at all and indeed could not be considered without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Appellant’s input. For example, the Appellant alleged that although the Respondent pleaded that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subject vehicle was worth </w:t>
      </w:r>
      <w:proofErr w:type="spellStart"/>
      <w:r w:rsidR="009A20D7">
        <w:rPr>
          <w:rFonts w:ascii="Times New Roman" w:hAnsi="Times New Roman" w:cs="Times New Roman"/>
          <w:color w:val="000000"/>
        </w:rPr>
        <w:t>KShs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40 000, the vehicle had been valued at </w:t>
      </w:r>
      <w:proofErr w:type="spellStart"/>
      <w:r w:rsidR="009A20D7">
        <w:rPr>
          <w:rFonts w:ascii="Times New Roman" w:hAnsi="Times New Roman" w:cs="Times New Roman"/>
          <w:color w:val="000000"/>
        </w:rPr>
        <w:t>KShs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21 000. This was in our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view a reasonable triable issue and did entitle the Appellant to be heard on his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The Learned Judge of the superior court did with respect fall into the same trap when she held that as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the Magistrate was satisfied that the Defendant was served and had earlier held in the judgment that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vehicle was unlawfully sold and Defendant was liable to pay damages, the Magistrate had exercised her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discretion rightly in refusing to set aside the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 xml:space="preserve">judgment because she had dismissed the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and counterclaim, on the evidence adduced before her of the monies paid towards the claim in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Defendant’s counterclaim. We are of the humble opinion that in so holding, the Learned Judge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superior court did not apply the right approach to the issues that were raised before her. The Respondent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had a judgment, which was not obtained by consent or as a consequence of a full trial. Both before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trial court and the superior court, the Applicant’s counsel laid a lot of emphasis on the argument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there were several triable issues raised by the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in its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and counterclaim which</w:t>
      </w:r>
      <w:r>
        <w:rPr>
          <w:rFonts w:ascii="Times New Roman" w:hAnsi="Times New Roman" w:cs="Times New Roman"/>
          <w:color w:val="00008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was before the court and urged the trial court to set aside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>judgment to allow the Appellant to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ventilate the same issues, and further urged that what the superior court should have done when hearing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application to set aside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>judgment, was to ignore her judgment on record and look at the matter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afresh considering the pleadings before her (</w:t>
      </w:r>
      <w:proofErr w:type="spellStart"/>
      <w:r w:rsidR="009A20D7">
        <w:rPr>
          <w:rFonts w:ascii="Times New Roman" w:hAnsi="Times New Roman" w:cs="Times New Roman"/>
          <w:color w:val="000000"/>
        </w:rPr>
        <w:t>ie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plaint,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and counterclaim) and see if on their face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value a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 w:rsidR="009A20D7">
        <w:rPr>
          <w:rFonts w:ascii="Times New Roman" w:hAnsi="Times New Roman" w:cs="Times New Roman"/>
          <w:color w:val="000000"/>
        </w:rPr>
        <w:t xml:space="preserve">triable issue (even if only one) was raised by the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and counterclaim. If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same was raised then, even if the reason for the Applicant’s appearance were weak, she was in law bound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to exercise her discretion and set aside </w:t>
      </w:r>
      <w:r w:rsidR="009A20D7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9A20D7">
        <w:rPr>
          <w:rFonts w:ascii="Times New Roman" w:hAnsi="Times New Roman" w:cs="Times New Roman"/>
          <w:color w:val="000000"/>
        </w:rPr>
        <w:t>judgment so as to allow the Appellant to put forward its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</w:rPr>
        <w:t>. Of course in such case, the applicant would be condemned in costs or even ordered to pay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thrown-away costs. The Learned Judge also should have, in our view, not considered what the learned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trial court concluded on the evidence before her but should have in the same way looked at the pleadings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 xml:space="preserve">and considered whether a triable issue was raised by the </w:t>
      </w:r>
      <w:proofErr w:type="spellStart"/>
      <w:r w:rsidR="009A20D7">
        <w:rPr>
          <w:rFonts w:ascii="Times New Roman" w:hAnsi="Times New Roman" w:cs="Times New Roman"/>
          <w:color w:val="000000"/>
        </w:rPr>
        <w:t>defence</w:t>
      </w:r>
      <w:proofErr w:type="spellEnd"/>
      <w:r w:rsidR="009A20D7">
        <w:rPr>
          <w:rFonts w:ascii="Times New Roman" w:hAnsi="Times New Roman" w:cs="Times New Roman"/>
          <w:color w:val="000000"/>
        </w:rPr>
        <w:t xml:space="preserve"> and if so, then the appeal should have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been allowed.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In conclusion, it is clear to us that the trial court wrongly exercised its discretion in principle and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Learned Judge as we have stated fell into the same trap. For fear of prejudicing the entire case, we will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not consider the grounds of appeal challenging the trial court’s judgment. This appeal has merits and we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allow it. We do not set aside the superior court’s decisions and further set aside the judgment entered by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the trial court on 21 December 1993. The suit in the Resident Magistrate’s Court at Nairobi civil case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number 5185 of 1998 shall proceed to hearing as a defended suit. Because of the history of the case, we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order each party to bear its own costs.</w:t>
      </w:r>
      <w:r>
        <w:rPr>
          <w:rFonts w:ascii="Times New Roman" w:hAnsi="Times New Roman" w:cs="Times New Roman"/>
          <w:color w:val="000000"/>
        </w:rPr>
        <w:t xml:space="preserve"> </w:t>
      </w:r>
      <w:r w:rsidR="009A20D7">
        <w:rPr>
          <w:rFonts w:ascii="Times New Roman" w:hAnsi="Times New Roman" w:cs="Times New Roman"/>
          <w:color w:val="000000"/>
        </w:rPr>
        <w:t>For the Appellant:</w:t>
      </w:r>
    </w:p>
    <w:p w:rsidR="009A20D7" w:rsidRDefault="009A20D7" w:rsidP="009A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9A20D7" w:rsidRDefault="009A20D7" w:rsidP="009A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1070D" w:rsidRDefault="009A20D7" w:rsidP="009A20D7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D7"/>
    <w:rsid w:val="0021070D"/>
    <w:rsid w:val="00346453"/>
    <w:rsid w:val="009A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AE9BA-D041-4EE1-97D8-7D88C5CF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3844</Words>
  <Characters>21914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2018-07-04T13:35:00Z</dcterms:created>
  <dcterms:modified xsi:type="dcterms:W3CDTF">2018-07-12T07:54:00Z</dcterms:modified>
</cp:coreProperties>
</file>