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Cahill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Nandhra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April 2006</w:t>
      </w:r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57/02</w:t>
      </w:r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2D4C67" w:rsidRDefault="002D4C67" w:rsidP="00283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Representative actions – Applicable principles.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brought an action in the superior court as their plaintiffs on their own behalf and in a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capacity on behalf of depositors of Trust Bank Limited as at December 1998, against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Three main causes of action were pleaded against the appellants, namely; firstly, as auditors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Trust Bank Limited, they failed to perform their statutory duties under the Banking Act by failing to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 to the respondents the true and correct financial position of the Bank thereby causing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to continue depositing their funds with the bank which bank was placed under statutory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and ultimately in liquidation with the consequence that the respondents lost their deposits.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Secondly, the appellants performed their duties as auditors of the bank in a negligent manner and that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negligence resulted in the respondent’s loss of their deposits. Thirdly, as drafters or promoters of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scheme of arrangement of the reconstruction of the Bank the appellants fraudulently altered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terms of reconstruction agreed between the respondents and former shareholders of the Bank by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discharging the latter from their obligations to repay the money embezzled from the bank. The appellants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averments and further denying that the respondents had a right to bring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in a representative capacity as pleaded in the plaint. They prayed that all references to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nature of the suit be struck out. The respondents took out a Chamber Summons under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I, rules 8 and 22 of the Civil Procedure Rules for orders that notice of institution of the suit be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to all depositors of the Bank as at 18 December 1998. The appellants opposed the said application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superior court judge granted the application as prayed hence the appeal.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For a representative suit, the superior court’s permission under Order I, rule 8 is mandatory.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conditions necessary to bring a suit within Order 1, rule 8 are: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numerous</w:t>
      </w:r>
      <w:proofErr w:type="gramEnd"/>
      <w:r>
        <w:rPr>
          <w:rFonts w:ascii="Times New Roman" w:hAnsi="Times New Roman" w:cs="Times New Roman"/>
          <w:color w:val="000000"/>
        </w:rPr>
        <w:t xml:space="preserve"> persons;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same interest;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authority</w:t>
      </w:r>
      <w:proofErr w:type="gramEnd"/>
      <w:r>
        <w:rPr>
          <w:rFonts w:ascii="Times New Roman" w:hAnsi="Times New Roman" w:cs="Times New Roman"/>
          <w:color w:val="000000"/>
        </w:rPr>
        <w:t xml:space="preserve"> or permission of the court; and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notice</w:t>
      </w:r>
      <w:proofErr w:type="gramEnd"/>
      <w:r>
        <w:rPr>
          <w:rFonts w:ascii="Times New Roman" w:hAnsi="Times New Roman" w:cs="Times New Roman"/>
          <w:color w:val="000000"/>
        </w:rPr>
        <w:t xml:space="preserve"> of suit.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representative suit is one which is filed by one or more persons or parties under Order I, rule 8 on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themselves and others having the same interest.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requirement that a person seeking to institute a suit in a representative capacity must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that he had obtained sanction of the persons interested on whose behalf the suit is proposed to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instituted.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invoke Order I, rule 8 of the Civil Procedure Rules, it is not necessary that the “cause of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action” must be the same. What is required is that there should be the “same interest”, that is: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common</w:t>
      </w:r>
      <w:proofErr w:type="gramEnd"/>
      <w:r>
        <w:rPr>
          <w:rFonts w:ascii="Times New Roman" w:hAnsi="Times New Roman" w:cs="Times New Roman"/>
          <w:color w:val="000000"/>
        </w:rPr>
        <w:t xml:space="preserve"> interest; or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common grievance.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respondents were depositors of Trust Bank. They were numerous in number but their exact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could be ascertained through the Bank records. It mattered not that some of them were in or out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Kenya. They were concerned with the loss of their deposits which they allege,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to have arisen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 to the appellants’ negligence and breach of their statutory duty. The respondents claimed a specific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of money and damages. They, therefore, had a common interest and a common grievance against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object for which Order I, rule 8 of the Civil Procedure Rules was enacted was to facilitate the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questions in which a large body of persons are interested without recourse to the ordinary</w:t>
      </w:r>
      <w:r w:rsidR="00283A96">
        <w:rPr>
          <w:rFonts w:ascii="Times New Roman" w:hAnsi="Times New Roman" w:cs="Times New Roman"/>
          <w:color w:val="000000"/>
        </w:rPr>
        <w:t xml:space="preserve"> p</w:t>
      </w:r>
      <w:r>
        <w:rPr>
          <w:rFonts w:ascii="Times New Roman" w:hAnsi="Times New Roman" w:cs="Times New Roman"/>
          <w:color w:val="000000"/>
        </w:rPr>
        <w:t>rocedure. The main purpose of the order was forestall insuperable practical difficulties in the institution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separate suits in cases where the common right or interest of a community or members of an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or large sections were involved.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age of economic advancement and age of consumerism, Kenya courts should adopt the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Australian approach in construing Order I, rule 8.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Though the rule on representative actions should be relaxed and developed liberally to meet modern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of representative civil litigation, representative actions should not be allowed to work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injustice to any litigating parties.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I, rule 8 of the Civil Procedure Rules being a facilitative one must be given a broad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which will secure its purpose of enabling several parties to come to justice in one action</w:t>
      </w:r>
      <w:r w:rsidR="00283A9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rather than in separate actions.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Balwant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Joginder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[1962] EA 395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Daud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Abdulla and Osman Haji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Ladha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Ahmed Suleiman </w:t>
      </w:r>
      <w:r>
        <w:rPr>
          <w:rFonts w:ascii="Times New Roman" w:hAnsi="Times New Roman" w:cs="Times New Roman"/>
          <w:color w:val="000000"/>
        </w:rPr>
        <w:t>(1946) 13 EACA 1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JJ Campos and LD Cruz v CL De Souza and others </w:t>
      </w:r>
      <w:r>
        <w:rPr>
          <w:rFonts w:ascii="Times New Roman" w:hAnsi="Times New Roman" w:cs="Times New Roman"/>
          <w:color w:val="000000"/>
        </w:rPr>
        <w:t>[1933] (XV) KLR 86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Bedford v Ellis </w:t>
      </w:r>
      <w:r>
        <w:rPr>
          <w:rFonts w:ascii="Times New Roman" w:hAnsi="Times New Roman" w:cs="Times New Roman"/>
          <w:color w:val="000000"/>
        </w:rPr>
        <w:t>[1901] AC 24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Carnie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Essanda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Finance Corporation Limited </w:t>
      </w:r>
      <w:r>
        <w:rPr>
          <w:rFonts w:ascii="Times New Roman" w:hAnsi="Times New Roman" w:cs="Times New Roman"/>
          <w:color w:val="000000"/>
        </w:rPr>
        <w:t>[1995] 127 ALR 76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CBS/Sony Hong Kong Limited v Television Broadcast Limited </w:t>
      </w:r>
      <w:r>
        <w:rPr>
          <w:rFonts w:ascii="Times New Roman" w:hAnsi="Times New Roman" w:cs="Times New Roman"/>
          <w:color w:val="000000"/>
        </w:rPr>
        <w:t>[1987] 13 FRS 262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Duke of Bedford v Ellis </w:t>
      </w:r>
      <w:r>
        <w:rPr>
          <w:rFonts w:ascii="Times New Roman" w:hAnsi="Times New Roman" w:cs="Times New Roman"/>
          <w:color w:val="000000"/>
        </w:rPr>
        <w:t>[1901] 70 LJ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Duke of Bedford v Ellis and others </w:t>
      </w:r>
      <w:r>
        <w:rPr>
          <w:rFonts w:ascii="Times New Roman" w:hAnsi="Times New Roman" w:cs="Times New Roman"/>
          <w:color w:val="000000"/>
        </w:rPr>
        <w:t>[1900-1903] All ER 694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Irish Shipping Limited v Commercial Union Assurance Company and another </w:t>
      </w:r>
      <w:r>
        <w:rPr>
          <w:rFonts w:ascii="Times New Roman" w:hAnsi="Times New Roman" w:cs="Times New Roman"/>
          <w:color w:val="000000"/>
        </w:rPr>
        <w:t>[1989] 2 All ER 853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Markt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Limited v Knight Steamship Company Limited </w:t>
      </w:r>
      <w:r>
        <w:rPr>
          <w:rFonts w:ascii="Times New Roman" w:hAnsi="Times New Roman" w:cs="Times New Roman"/>
          <w:color w:val="000000"/>
        </w:rPr>
        <w:t>[1910] 2 KB 1021</w:t>
      </w:r>
    </w:p>
    <w:p w:rsidR="002D4C67" w:rsidRDefault="002D4C67" w:rsidP="002D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Prudential Assurance Company Limited v Newman Industries Limited </w:t>
      </w:r>
      <w:r>
        <w:rPr>
          <w:rFonts w:ascii="Times New Roman" w:hAnsi="Times New Roman" w:cs="Times New Roman"/>
          <w:color w:val="000000"/>
        </w:rPr>
        <w:t xml:space="preserve">[1981]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229</w:t>
      </w:r>
    </w:p>
    <w:p w:rsidR="00EE7594" w:rsidRDefault="002D4C67" w:rsidP="002D4C67">
      <w:r>
        <w:rPr>
          <w:rFonts w:ascii="Times New Roman" w:hAnsi="Times New Roman" w:cs="Times New Roman"/>
          <w:i/>
          <w:iCs/>
          <w:color w:val="000000"/>
        </w:rPr>
        <w:t>Prudential Assurance Company Limited v Newman Industries Limited and others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67"/>
    <w:rsid w:val="00283A96"/>
    <w:rsid w:val="002D4C67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59E6-664C-4F7B-A863-F43365B4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2018-07-05T08:48:00Z</dcterms:created>
  <dcterms:modified xsi:type="dcterms:W3CDTF">2018-07-10T14:13:00Z</dcterms:modified>
</cp:coreProperties>
</file>