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371" w:rsidRDefault="00DA6371" w:rsidP="000A0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Caledonia Supermarket Ltd v Kenya National Examination Council</w:t>
      </w:r>
    </w:p>
    <w:p w:rsidR="00DA6371" w:rsidRDefault="00DA6371" w:rsidP="000A0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DA6371" w:rsidRDefault="00DA6371" w:rsidP="000A0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December 2000</w:t>
      </w:r>
    </w:p>
    <w:p w:rsidR="00DA6371" w:rsidRDefault="00DA6371" w:rsidP="000A0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184/99</w:t>
      </w:r>
    </w:p>
    <w:p w:rsidR="00DA6371" w:rsidRDefault="00DA6371" w:rsidP="000A0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DA6371" w:rsidRDefault="00DA6371" w:rsidP="000A0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A6371" w:rsidRDefault="00DA6371" w:rsidP="000A0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DA6371" w:rsidRDefault="00DA6371" w:rsidP="000A0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Landlord and tenant – Protected tenant – Termination – Landlord threatens unlawfully to terminate</w:t>
      </w:r>
    </w:p>
    <w:p w:rsidR="00DA6371" w:rsidRDefault="00DA6371" w:rsidP="000A0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the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tenancy – Whether the tenant can apply to the High Court for an injunctive relief.</w:t>
      </w:r>
    </w:p>
    <w:p w:rsidR="00DA6371" w:rsidRDefault="00DA6371" w:rsidP="000A0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Landlord and tenant – Protected tenant – Termination – Manner in which a protected tenancy may</w:t>
      </w:r>
    </w:p>
    <w:p w:rsidR="00DA6371" w:rsidRDefault="00DA6371" w:rsidP="000A0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properly terminated – Section 4 – The Landlord and Tenant (Shops, Hotels and Catering</w:t>
      </w:r>
    </w:p>
    <w:p w:rsidR="00DA6371" w:rsidRDefault="00DA6371" w:rsidP="000A0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Establishments) Act.</w:t>
      </w:r>
    </w:p>
    <w:p w:rsidR="00DA6371" w:rsidRDefault="000A0664" w:rsidP="000A06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KWACH, SHAH AND O’KUBASU JJA: </w:t>
      </w:r>
      <w:r>
        <w:rPr>
          <w:rFonts w:ascii="Times New Roman" w:hAnsi="Times New Roman" w:cs="Times New Roman"/>
          <w:color w:val="000000"/>
        </w:rPr>
        <w:t>These two appeals have been consolidated and heard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together. For the purposes of this judgment we invited counsel to restrict their submissions to civil appeal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184 of 1999.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Kenya National Examinations Council, the Respondent in this appeal (hereinafter called “the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Council”) is the registered owner of a property known as Plot LR Number 209/357/1 Dennis Pritt Road,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Nairobi (hereinafter called “the premises”) consisting of shops and flats. For many years Caledonia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Supermarket Ltd, the Appellant (hereinafter called “the Appellant”), occupied as a tenant one of the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shops in which it operated the business of a supermarket. Before the Council acquired the premises they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owned by two gentlemen who sold and transferred them to the Council on or about 17 July 1998.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Upon acquiring title to the premises, the Council decided that it needed to occupy them for its own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purposes and issued a notice through its advocates requiring the Appellant to vacate the premises and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 vacant possession. The notice dated 11 August 1998 required the Appellant to vacate the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premises within 30 days.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common ground that the Appellant was a protected tenant under a controlled tenancy within the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of section 2(1) of the Landlord and Tenant (Shops, Hotels and Catering Establishments) Act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(Chapter 201) (“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Act”).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Such a tenancy could not be terminated or its terms altered to the detriment of the Appellant otherwise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in accordance with the provisions of section 4 of the Act.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the Council served the Appellant with notice to vacate, the Appellant refused to comply and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immediately filed a suit against the Council in the superior court seeking, among other reliefs, an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to restrain the Council from terminating its tenancy and damages. Simultaneously with the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filing of the suit, the Appellant applied by chamber summons under Order 39 of the Civil Procedure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Rules for a temporary injunction restraining the Council from evicting it from the premises pending the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of the suit or further order. The application was supported by an affidavit sworn by Anastacia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Wariara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Wagiciengo</w:t>
      </w:r>
      <w:proofErr w:type="spellEnd"/>
      <w:r>
        <w:rPr>
          <w:rFonts w:ascii="Times New Roman" w:hAnsi="Times New Roman" w:cs="Times New Roman"/>
          <w:color w:val="000000"/>
        </w:rPr>
        <w:t>, a director of the Appellant. The Council contested the application and filed a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lengthy affidavit in reply sworn by its Deputy Secretary in charge of Finance and Administration, one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Ahmed Sheikh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 xml:space="preserve">, in which he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“(24) That I am advised by the Council’s advocates on record which I verily believe to be true that the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Defendant, the Kenya National Examinations Council is a government body established by an Act of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Parliament namely Chapter 225A of the Laws of Kenya.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(25) That I am advised by the Council’s advocates which I verily believe to be true that the Defendant is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lawfully registered as owner of the property herein and the notices issued are lawful, legal and valid.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(31) That I am advised by the Council’s advocates which I verily believe to be true that the Plaintiff is not a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protected tenant who cannot be disturbed for 5 years. They further advise me that there is nothing in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 as protected tenant and only tenancies can be controlled. The Plaintiff’s premises are not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controlled within the meaning of Chapter 301 Laws of Kenya”.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Council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denying the Appellant’s claim to be a protected tenant and also claimed to be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government body and a state corporation in the Ministry of Education to which the provisions of the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State Corporations Act apply.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application was heard by </w:t>
      </w:r>
      <w:proofErr w:type="spellStart"/>
      <w:r>
        <w:rPr>
          <w:rFonts w:ascii="Times New Roman" w:hAnsi="Times New Roman" w:cs="Times New Roman"/>
          <w:color w:val="000000"/>
        </w:rPr>
        <w:t>Kuloba</w:t>
      </w:r>
      <w:proofErr w:type="spellEnd"/>
      <w:r>
        <w:rPr>
          <w:rFonts w:ascii="Times New Roman" w:hAnsi="Times New Roman" w:cs="Times New Roman"/>
          <w:color w:val="000000"/>
        </w:rPr>
        <w:t xml:space="preserve"> J. He held that the Appellant had not made out a </w:t>
      </w:r>
      <w:r>
        <w:rPr>
          <w:rFonts w:ascii="Times New Roman" w:hAnsi="Times New Roman" w:cs="Times New Roman"/>
          <w:i/>
          <w:iCs/>
          <w:color w:val="000000"/>
        </w:rPr>
        <w:t>prima facie</w:t>
      </w:r>
      <w:r w:rsidR="000A066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with probability of success and dismissed the application. He also made an order requiring the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to vacate the premises on the last day of February 1999. It is against that decision that the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has now appealed.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Although the decision of the Learned Judge has been challenged on several grounds, we asked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M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 </w:t>
      </w:r>
      <w:r>
        <w:rPr>
          <w:rFonts w:ascii="Times New Roman" w:hAnsi="Times New Roman" w:cs="Times New Roman"/>
          <w:i/>
          <w:iCs/>
          <w:color w:val="000000"/>
        </w:rPr>
        <w:t>Sharma</w:t>
      </w:r>
      <w:r>
        <w:rPr>
          <w:rFonts w:ascii="Times New Roman" w:hAnsi="Times New Roman" w:cs="Times New Roman"/>
          <w:color w:val="000000"/>
        </w:rPr>
        <w:t>, for the Appellant, to address us only on the issue whether the Appellant enjoyed a controlled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tenancy, and if so, whether it had been terminated in accordance with the relevant provisions of the Act.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Although statutory protection was pleaded and urged at the hearing, the Learned Judge did not address it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ruling. All he said was: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is not established on any affidavit evidence that the Respondent purchased the property subject to any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encumbrances or rights and interests of third parties. It is not suggested that the Respondent was a party to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tenancy agreements between the Applicants and the previous owner of the property who sold it to the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Respondent. It is not said that by its conduct or otherwise the Respondent has led or misled the Applicants to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and to remain in possession as tenants in the suit premises. In the absence of proof of these matters, it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appears doubtful whether the Applicants will have a good case to restrain the Respondent by a permanent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injunction at the trial such as the one they seek in the suit itself. On an interlocutory application such as this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one, I cannot express a conclusive opinion as to the parties’ respective chances of success or failure; but, on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material presently before the court, and speaking neutrally so as not to hinder the free and unprejudiced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consideration of the case on full evidence at the trial, I state that as of now, the Respondent: as a purchaser for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value of the premises free of encumbrances and with no contractual clauses saving the interests of the sitting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tenant, is free to take vacant possession of the premises and the Applicants, probabilities of success are not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demonstrated”.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Sharma </w:t>
      </w:r>
      <w:r>
        <w:rPr>
          <w:rFonts w:ascii="Times New Roman" w:hAnsi="Times New Roman" w:cs="Times New Roman"/>
          <w:color w:val="000000"/>
        </w:rPr>
        <w:t>submitted that since the Appellant’s tenancy was a controlled tenancy it could not be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terminated or its terms altered to the detriment of the Appellant except as provided by section 4 of the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Act, the relevant parts of which provide: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“4 (1) Notwithstanding the provisions of any other written law or anything contained in the terms and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conditions of a controlled tenancy, no such tenancy shall terminate or be terminated, and no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term or condition in or right or service enjoyed by the tenant of, any such tenancy shall be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altered, otherwise than in accordance with the following provisions of this Act.</w:t>
      </w:r>
    </w:p>
    <w:p w:rsidR="00DA6371" w:rsidRDefault="000A0664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</w:t>
      </w:r>
      <w:r w:rsidR="00DA6371">
        <w:rPr>
          <w:rFonts w:ascii="Times New Roman" w:hAnsi="Times New Roman" w:cs="Times New Roman"/>
          <w:color w:val="000000"/>
          <w:sz w:val="20"/>
          <w:szCs w:val="20"/>
        </w:rPr>
        <w:t>) A landlord who wishes to terminate a controlled tenancy, or alter, to the detriment of the tenant,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A6371">
        <w:rPr>
          <w:rFonts w:ascii="Times New Roman" w:hAnsi="Times New Roman" w:cs="Times New Roman"/>
          <w:color w:val="000000"/>
          <w:sz w:val="20"/>
          <w:szCs w:val="20"/>
        </w:rPr>
        <w:t>any term or condition in, or right or service enjoyed by the tenant under, such a tenancy, shall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A6371">
        <w:rPr>
          <w:rFonts w:ascii="Times New Roman" w:hAnsi="Times New Roman" w:cs="Times New Roman"/>
          <w:color w:val="000000"/>
          <w:sz w:val="20"/>
          <w:szCs w:val="20"/>
        </w:rPr>
        <w:t>give notice in that behalf to the tenant in the prescribed form (emphasis added).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( 4)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 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tenancy notice shall take effect until such date, not being less than two months after the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receipt thereof by the receiving party, as shall be specified thereon (emphasis added).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( 5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A tenancy notice shall not be effective for any of the purposes of this Act unless it specifies the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grounds upon which the requesting party seeks the termination, alteration or reassessment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concerned and requires the receiving party to notify the requesting party in writing, within one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month after the date of receipt of the notice, whether or not he agrees to comply with the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notice”.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Sharma </w:t>
      </w:r>
      <w:r>
        <w:rPr>
          <w:rFonts w:ascii="Times New Roman" w:hAnsi="Times New Roman" w:cs="Times New Roman"/>
          <w:color w:val="000000"/>
        </w:rPr>
        <w:t>submitted that the notice of termination issued by the Council dated 11 August 1998 was not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prescribed form. The prescribed form is Form A in the Schedule to the Act. It is plain beyond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 that the notice given by the Council did not satisfy this statutory requirement. Secondly, instead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Council giving the Appellant not less than two months’ notice it purported to give it only 30 days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vacate. The Council was not entitled, by virtue of the proviso to section 7(1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) of the Act to oppose a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if filed by the tenant, assuming a valid notice of termination of tenancy had been given. Lastly,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notice did not require the Appellant to indicate within 30 days whether or not it agreed to comply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notice. The Council’s failure to comply with these mandatory statutory requirements rendered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purported notice null and void and incapable of enforcement.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Ibrahim </w:t>
      </w:r>
      <w:r>
        <w:rPr>
          <w:rFonts w:ascii="Times New Roman" w:hAnsi="Times New Roman" w:cs="Times New Roman"/>
          <w:color w:val="000000"/>
        </w:rPr>
        <w:t>did not seriously dispute these contentions but he submitted that once the premises were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sold and transferred to the Council, the Appellant automatically lost its statutory protection under the Act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he relied on the proviso to section 20 of the Act which states that no tenancy to which the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or a local authority is a party, whether as a landlord or as a tenant, shall be a controlled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tenancy. On this ground, he maintained the notice issued by the Council was valid.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The Act was passed to protect the tenants of business premises from eviction and exploitation. Upon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acquiring title to the premises, the Council had a clear choice. If the acquisition was subject to file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tenancy, the Council was obliged to comply with section 4 of the Act to obtain vacant possession. The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that the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Council had not accepted rent was irrelevant. But even assuming for the sake of argument only that the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had lost its status of a protected tenant as urged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Ibrahim</w:t>
      </w:r>
      <w:r>
        <w:rPr>
          <w:rFonts w:ascii="Times New Roman" w:hAnsi="Times New Roman" w:cs="Times New Roman"/>
          <w:color w:val="000000"/>
        </w:rPr>
        <w:t>, then even in that situation the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Council was obliged by law to issue a proper notice of termination in accordance with section 106 of the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 of Property Act of 1882. The notice given by the Council did not comply with this statutory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either. It was not a valid notice.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Faced with what was clearly an illegal eviction, the Appellant could not seek protection from the</w:t>
      </w:r>
    </w:p>
    <w:p w:rsidR="00DA6371" w:rsidRPr="000A0664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Business Premises Tribunal because the notice given being an invalid notice deprived the Tribunal of the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to intervene. In any case the Tribunal has no power to issue an injunction. That left the Appellant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only one course of action. It had to seek redress from the High Court.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Tiwi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Beach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Hotel Ltd v Julian Ulrike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Stamn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[1990] 2 KAR 189 where a protected tenant applied to the High Court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an injunction when, as in the present case, she was threatened with an illegal eviction,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 JA put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matter beyond dispute when in the course of his judgment he said at page 200: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“Although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Lakha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stressed that both these letters constituted an offer for a lease, in my judgment it is plain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beyond argument that they were a demand by a landlord for rent from a tenant in possession. The tenant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claimed, quite properly in my view, statutory protection under the Landlord and Tenant (Shops, Hotels and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Catering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Establishments) Act and the Appellant, as landlord of the premises was therefore obliged to comply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the statutory procedure under the Act if it was its intention either to terminate the tenancy or alter its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terms to the detriment of the Respondent. If the Appellant thought that those letters were notices, it must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disabuse it: of that notion by stating at once that they were not: in the prescribed form and consequently had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 effect on the Respondent’s tenancy. For this reason alone the Respondent was entitled to an order</w:t>
      </w:r>
      <w:r w:rsidR="000A066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restraining the Appellant and the judge was therefore perfectly justified in making the order”.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Ibrahim </w:t>
      </w:r>
      <w:r>
        <w:rPr>
          <w:rFonts w:ascii="Times New Roman" w:hAnsi="Times New Roman" w:cs="Times New Roman"/>
          <w:color w:val="000000"/>
        </w:rPr>
        <w:t>sought to rely on the proviso to section 2(1) of the Act. There is an averment in paragraph 12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filed by the Council claiming that the Council is a government body and a state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 in the Ministry of Education of the government of Kenya and the provisions of the State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Corporations Act (Chapter 446) apply to it. This averment was also repeated in the replying affidavit of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Ahmed Sheikh </w:t>
      </w:r>
      <w:proofErr w:type="spellStart"/>
      <w:r>
        <w:rPr>
          <w:rFonts w:ascii="Times New Roman" w:hAnsi="Times New Roman" w:cs="Times New Roman"/>
          <w:color w:val="000000"/>
        </w:rPr>
        <w:t>Abdullahi</w:t>
      </w:r>
      <w:proofErr w:type="spellEnd"/>
      <w:r>
        <w:rPr>
          <w:rFonts w:ascii="Times New Roman" w:hAnsi="Times New Roman" w:cs="Times New Roman"/>
          <w:color w:val="000000"/>
        </w:rPr>
        <w:t xml:space="preserve"> to which we have already alluded. The problem with this submission is that it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been made without any attempt to place before the Court any evidence to back it up. Section 3 of the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Corporations Act gives the President the power, by order, to establish a state corporation as a body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corporate to perform the functions specified in the order. We were not shown any legal notice issued by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President establishing the Council as a state corporation. In the absence of any such order the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Council’s claim to be a state corporation must be rejected and are completely baseless.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all these reasons we allow this appeal and set aside the ruling and order of </w:t>
      </w:r>
      <w:proofErr w:type="spellStart"/>
      <w:r>
        <w:rPr>
          <w:rFonts w:ascii="Times New Roman" w:hAnsi="Times New Roman" w:cs="Times New Roman"/>
          <w:color w:val="000000"/>
        </w:rPr>
        <w:t>Kuloba</w:t>
      </w:r>
      <w:proofErr w:type="spellEnd"/>
      <w:r>
        <w:rPr>
          <w:rFonts w:ascii="Times New Roman" w:hAnsi="Times New Roman" w:cs="Times New Roman"/>
          <w:color w:val="000000"/>
        </w:rPr>
        <w:t xml:space="preserve"> J dated 9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December 1998. As the Appellant has already vacated the premises and given the Council vacant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possession, it would not be just to issue an order of injunction against the Council. We declare that on the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 placed before the judge the Appellant was entitled to an injunction and the Learned Judge erred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refusing to grant it. The result of that denial was that the Appellant’s tenancy was illegally terminated.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therefore entitled to recover damages from the Council for the loss and damage it suffered. We remit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to the superior court for assessment of damages as the issue of liability has been determined in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favour of the Appellant. The exercise will be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undertaken by a judge other than </w:t>
      </w:r>
      <w:proofErr w:type="spellStart"/>
      <w:r>
        <w:rPr>
          <w:rFonts w:ascii="Times New Roman" w:hAnsi="Times New Roman" w:cs="Times New Roman"/>
          <w:color w:val="000000"/>
        </w:rPr>
        <w:t>Kuloba</w:t>
      </w:r>
      <w:proofErr w:type="spellEnd"/>
      <w:r>
        <w:rPr>
          <w:rFonts w:ascii="Times New Roman" w:hAnsi="Times New Roman" w:cs="Times New Roman"/>
          <w:color w:val="000000"/>
        </w:rPr>
        <w:t xml:space="preserve"> J. The Appellant will have the costs of this appeal.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avoidance of doubt the orders we have made in this appeal will also apply to civil appeal</w:t>
      </w:r>
      <w:r w:rsidR="000A0664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number 129 of 2000.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MG Sharma</w:t>
      </w:r>
    </w:p>
    <w:p w:rsidR="00DA6371" w:rsidRDefault="00DA6371" w:rsidP="00DA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DA6371" w:rsidP="00DA6371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Ibrahim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1"/>
    <w:rsid w:val="000A0664"/>
    <w:rsid w:val="003F18BF"/>
    <w:rsid w:val="00DA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C2D70-12B7-4C13-B135-7734EA0E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2018-07-05T10:11:00Z</dcterms:created>
  <dcterms:modified xsi:type="dcterms:W3CDTF">2018-07-10T14:40:00Z</dcterms:modified>
</cp:coreProperties>
</file>