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D1F" w:rsidRDefault="00555D1F" w:rsidP="002728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Catholic Diocese of Moshi v Attorney-General</w:t>
      </w:r>
    </w:p>
    <w:p w:rsidR="00555D1F" w:rsidRDefault="00555D1F" w:rsidP="002728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Tanzania at Dar-</w:t>
      </w:r>
      <w:proofErr w:type="spellStart"/>
      <w:r>
        <w:rPr>
          <w:rFonts w:ascii="Times New Roman" w:hAnsi="Times New Roman" w:cs="Times New Roman"/>
          <w:color w:val="000000"/>
        </w:rPr>
        <w:t>es</w:t>
      </w:r>
      <w:proofErr w:type="spellEnd"/>
      <w:r>
        <w:rPr>
          <w:rFonts w:ascii="Times New Roman" w:hAnsi="Times New Roman" w:cs="Times New Roman"/>
          <w:color w:val="000000"/>
        </w:rPr>
        <w:t>-Salaam</w:t>
      </w:r>
    </w:p>
    <w:p w:rsidR="00555D1F" w:rsidRDefault="00555D1F" w:rsidP="002728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28 January 1998</w:t>
      </w:r>
    </w:p>
    <w:p w:rsidR="00555D1F" w:rsidRDefault="00555D1F" w:rsidP="002728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3/97</w:t>
      </w:r>
    </w:p>
    <w:p w:rsidR="00555D1F" w:rsidRDefault="00555D1F" w:rsidP="002728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Mapigano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555D1F" w:rsidRDefault="00555D1F" w:rsidP="002728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A Bade</w:t>
      </w:r>
    </w:p>
    <w:p w:rsidR="00555D1F" w:rsidRDefault="00555D1F" w:rsidP="002728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C </w:t>
      </w:r>
      <w:proofErr w:type="spellStart"/>
      <w:r>
        <w:rPr>
          <w:rFonts w:ascii="Times New Roman" w:hAnsi="Times New Roman" w:cs="Times New Roman"/>
          <w:color w:val="000000"/>
        </w:rPr>
        <w:t>Kanjama</w:t>
      </w:r>
      <w:proofErr w:type="spellEnd"/>
    </w:p>
    <w:p w:rsidR="00555D1F" w:rsidRDefault="00555D1F" w:rsidP="002728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Administrative law – Delegated legislation – Tax remission order had not been published in the</w:t>
      </w:r>
    </w:p>
    <w:p w:rsidR="00555D1F" w:rsidRDefault="00555D1F" w:rsidP="002728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Gazette </w:t>
      </w:r>
      <w:r>
        <w:rPr>
          <w:rFonts w:ascii="Times New Roman" w:hAnsi="Times New Roman" w:cs="Times New Roman"/>
          <w:i/>
          <w:iCs/>
          <w:color w:val="000000"/>
        </w:rPr>
        <w:t xml:space="preserve">– Revocation of order before publication in the </w:t>
      </w:r>
      <w:r>
        <w:rPr>
          <w:rFonts w:ascii="Times New Roman" w:hAnsi="Times New Roman" w:cs="Times New Roman"/>
          <w:color w:val="000000"/>
        </w:rPr>
        <w:t xml:space="preserve">Gazette </w:t>
      </w:r>
      <w:r>
        <w:rPr>
          <w:rFonts w:ascii="Times New Roman" w:hAnsi="Times New Roman" w:cs="Times New Roman"/>
          <w:i/>
          <w:iCs/>
          <w:color w:val="000000"/>
        </w:rPr>
        <w:t>– Whether the order had legal validity</w:t>
      </w:r>
    </w:p>
    <w:p w:rsidR="00555D1F" w:rsidRDefault="00555D1F" w:rsidP="002728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prior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to publication in the </w:t>
      </w:r>
      <w:r>
        <w:rPr>
          <w:rFonts w:ascii="Times New Roman" w:hAnsi="Times New Roman" w:cs="Times New Roman"/>
          <w:color w:val="000000"/>
        </w:rPr>
        <w:t>Gazette</w:t>
      </w:r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555D1F" w:rsidRDefault="00555D1F" w:rsidP="002728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Evidence – Doctrine of estoppel – Representation as to future conduct – No contractual obligation –</w:t>
      </w:r>
    </w:p>
    <w:p w:rsidR="00555D1F" w:rsidRDefault="00555D1F" w:rsidP="002728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Whether estoppel would operate against the Minister.</w:t>
      </w:r>
    </w:p>
    <w:p w:rsidR="00555D1F" w:rsidRDefault="00555D1F" w:rsidP="002728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[3] Judicial review – Natural justice – Decision of Minister to give waiver of duty for goods revoked –</w:t>
      </w:r>
    </w:p>
    <w:p w:rsidR="00555D1F" w:rsidRDefault="00555D1F" w:rsidP="002728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Whether Minister took into account irrelevant considerations – Whether Applicants entitled to be heard</w:t>
      </w:r>
    </w:p>
    <w:p w:rsidR="00555D1F" w:rsidRDefault="00555D1F" w:rsidP="002728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– Whether there was a failure of natural justice.</w:t>
      </w:r>
    </w:p>
    <w:p w:rsidR="00555D1F" w:rsidRDefault="00555D1F" w:rsidP="00555D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555D1F" w:rsidRDefault="00555D1F" w:rsidP="00555D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1994, the Moshi District Council passed a resolution to solicit money for construction of a road from</w:t>
      </w:r>
      <w:r w:rsidR="002728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general public. They approached the Applicants who agreed to contribute money from the sale of</w:t>
      </w:r>
      <w:r w:rsidR="002728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used clothes to be imported by it from abroad. It was suggested that remission of sales tax and import</w:t>
      </w:r>
      <w:r w:rsidR="002728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duty be obtained from the government.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James </w:t>
      </w:r>
      <w:proofErr w:type="spellStart"/>
      <w:r>
        <w:rPr>
          <w:rFonts w:ascii="Times New Roman" w:hAnsi="Times New Roman" w:cs="Times New Roman"/>
          <w:color w:val="000000"/>
        </w:rPr>
        <w:t>Mbatia</w:t>
      </w:r>
      <w:proofErr w:type="spellEnd"/>
      <w:r>
        <w:rPr>
          <w:rFonts w:ascii="Times New Roman" w:hAnsi="Times New Roman" w:cs="Times New Roman"/>
          <w:color w:val="000000"/>
        </w:rPr>
        <w:t>, an MP, applied to the government on the</w:t>
      </w:r>
      <w:r w:rsidR="002728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Applicants’ behalf for the remission. The Minister for Finance made orders to that effect and appointed</w:t>
      </w:r>
      <w:r w:rsidR="002728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agents to clear the goods from the port of Dar-</w:t>
      </w:r>
      <w:proofErr w:type="spellStart"/>
      <w:r>
        <w:rPr>
          <w:rFonts w:ascii="Times New Roman" w:hAnsi="Times New Roman" w:cs="Times New Roman"/>
          <w:color w:val="000000"/>
        </w:rPr>
        <w:t>es</w:t>
      </w:r>
      <w:proofErr w:type="spellEnd"/>
      <w:r>
        <w:rPr>
          <w:rFonts w:ascii="Times New Roman" w:hAnsi="Times New Roman" w:cs="Times New Roman"/>
          <w:color w:val="000000"/>
        </w:rPr>
        <w:t xml:space="preserve">-Salaam. Before the orders could be </w:t>
      </w:r>
      <w:proofErr w:type="spellStart"/>
      <w:r>
        <w:rPr>
          <w:rFonts w:ascii="Times New Roman" w:hAnsi="Times New Roman" w:cs="Times New Roman"/>
          <w:color w:val="000000"/>
        </w:rPr>
        <w:t>gazetted</w:t>
      </w:r>
      <w:proofErr w:type="spellEnd"/>
      <w:r>
        <w:rPr>
          <w:rFonts w:ascii="Times New Roman" w:hAnsi="Times New Roman" w:cs="Times New Roman"/>
          <w:color w:val="000000"/>
        </w:rPr>
        <w:t>, the</w:t>
      </w:r>
      <w:r w:rsidR="002728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Applicants were informed that the Minister had revoked the remission orders.</w:t>
      </w:r>
    </w:p>
    <w:p w:rsidR="00555D1F" w:rsidRDefault="00555D1F" w:rsidP="00555D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On an application for orders of </w:t>
      </w:r>
      <w:r>
        <w:rPr>
          <w:rFonts w:ascii="Times New Roman" w:hAnsi="Times New Roman" w:cs="Times New Roman"/>
          <w:i/>
          <w:iCs/>
          <w:color w:val="000000"/>
        </w:rPr>
        <w:t xml:space="preserve">certiorari </w:t>
      </w:r>
      <w:r>
        <w:rPr>
          <w:rFonts w:ascii="Times New Roman" w:hAnsi="Times New Roman" w:cs="Times New Roman"/>
          <w:color w:val="000000"/>
        </w:rPr>
        <w:t xml:space="preserve">and </w:t>
      </w:r>
      <w:r>
        <w:rPr>
          <w:rFonts w:ascii="Times New Roman" w:hAnsi="Times New Roman" w:cs="Times New Roman"/>
          <w:i/>
          <w:iCs/>
          <w:color w:val="000000"/>
        </w:rPr>
        <w:t>mandamus</w:t>
      </w:r>
      <w:r>
        <w:rPr>
          <w:rFonts w:ascii="Times New Roman" w:hAnsi="Times New Roman" w:cs="Times New Roman"/>
          <w:color w:val="000000"/>
        </w:rPr>
        <w:t>, the Court was called upon to consider: (1)</w:t>
      </w:r>
      <w:r w:rsidR="002728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whether the Minister took into account the status of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James </w:t>
      </w:r>
      <w:proofErr w:type="spellStart"/>
      <w:r>
        <w:rPr>
          <w:rFonts w:ascii="Times New Roman" w:hAnsi="Times New Roman" w:cs="Times New Roman"/>
          <w:color w:val="000000"/>
        </w:rPr>
        <w:t>Mbatia</w:t>
      </w:r>
      <w:proofErr w:type="spellEnd"/>
      <w:r>
        <w:rPr>
          <w:rFonts w:ascii="Times New Roman" w:hAnsi="Times New Roman" w:cs="Times New Roman"/>
          <w:color w:val="000000"/>
        </w:rPr>
        <w:t xml:space="preserve"> as an opposition politician in order</w:t>
      </w:r>
      <w:r w:rsidR="002728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revoke the orders; (2) whether there was denial of natural justice; (3) the applicability of estoppel; and</w:t>
      </w:r>
      <w:r w:rsidR="002728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(4) the legal validity of unpublished remission orders.</w:t>
      </w:r>
    </w:p>
    <w:p w:rsidR="00555D1F" w:rsidRDefault="00555D1F" w:rsidP="00555D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Since no reasons were given for the revocation decision, the allegation that the Minister</w:t>
      </w:r>
      <w:r w:rsidR="002728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considered the irrelevant issue of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James </w:t>
      </w:r>
      <w:proofErr w:type="spellStart"/>
      <w:r>
        <w:rPr>
          <w:rFonts w:ascii="Times New Roman" w:hAnsi="Times New Roman" w:cs="Times New Roman"/>
          <w:color w:val="000000"/>
        </w:rPr>
        <w:t>Mbatia’s</w:t>
      </w:r>
      <w:proofErr w:type="spellEnd"/>
      <w:r>
        <w:rPr>
          <w:rFonts w:ascii="Times New Roman" w:hAnsi="Times New Roman" w:cs="Times New Roman"/>
          <w:color w:val="000000"/>
        </w:rPr>
        <w:t xml:space="preserve"> status as an opposition politician was mere</w:t>
      </w:r>
      <w:r w:rsidR="002728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speculation.</w:t>
      </w:r>
    </w:p>
    <w:p w:rsidR="00555D1F" w:rsidRDefault="00555D1F" w:rsidP="00555D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There was lack of fairness in not allowing the Applicants an opportunity to be heard prior to the</w:t>
      </w:r>
      <w:r w:rsidR="002728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revocation decision.</w:t>
      </w:r>
    </w:p>
    <w:p w:rsidR="00555D1F" w:rsidRDefault="00555D1F" w:rsidP="00555D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order to give rise to an estoppel, a representation must relate to an existing or past event. A mere</w:t>
      </w:r>
      <w:r w:rsidR="002728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statement of intention or a promise to do something in future does not create an estoppel. The Minister’s</w:t>
      </w:r>
      <w:r w:rsidR="002728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statement was a statement </w:t>
      </w:r>
      <w:r>
        <w:rPr>
          <w:rFonts w:ascii="Times New Roman" w:hAnsi="Times New Roman" w:cs="Times New Roman"/>
          <w:i/>
          <w:iCs/>
          <w:color w:val="000000"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futuro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there was no evidence that he contracted to fulfil it. Therefore</w:t>
      </w:r>
      <w:r w:rsidR="002728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estoppel could not operate in this case. </w:t>
      </w:r>
      <w:r>
        <w:rPr>
          <w:rFonts w:ascii="Times New Roman" w:hAnsi="Times New Roman" w:cs="Times New Roman"/>
          <w:i/>
          <w:iCs/>
          <w:color w:val="000000"/>
        </w:rPr>
        <w:t xml:space="preserve">Alderson v Maddison </w:t>
      </w:r>
      <w:r>
        <w:rPr>
          <w:rFonts w:ascii="Times New Roman" w:hAnsi="Times New Roman" w:cs="Times New Roman"/>
          <w:color w:val="000000"/>
        </w:rPr>
        <w:t>LRS Ex D 293 adopted.</w:t>
      </w:r>
    </w:p>
    <w:p w:rsidR="00555D1F" w:rsidRDefault="00555D1F" w:rsidP="00555D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According to section 26 of the Interpretation of Laws and General Clauses Act of 1972, any</w:t>
      </w:r>
      <w:r w:rsidR="002728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subsidiary legislation must be published in the </w:t>
      </w:r>
      <w:r>
        <w:rPr>
          <w:rFonts w:ascii="Times New Roman" w:hAnsi="Times New Roman" w:cs="Times New Roman"/>
          <w:i/>
          <w:iCs/>
          <w:color w:val="000000"/>
        </w:rPr>
        <w:t xml:space="preserve">Gazette </w:t>
      </w:r>
      <w:r>
        <w:rPr>
          <w:rFonts w:ascii="Times New Roman" w:hAnsi="Times New Roman" w:cs="Times New Roman"/>
          <w:color w:val="000000"/>
        </w:rPr>
        <w:t xml:space="preserve">unless </w:t>
      </w:r>
      <w:r>
        <w:rPr>
          <w:rFonts w:ascii="Times New Roman" w:hAnsi="Times New Roman" w:cs="Times New Roman"/>
          <w:i/>
          <w:iCs/>
          <w:color w:val="000000"/>
        </w:rPr>
        <w:t xml:space="preserve">inter alia </w:t>
      </w:r>
      <w:r>
        <w:rPr>
          <w:rFonts w:ascii="Times New Roman" w:hAnsi="Times New Roman" w:cs="Times New Roman"/>
          <w:color w:val="000000"/>
        </w:rPr>
        <w:t>it has no legislative effect. The</w:t>
      </w:r>
      <w:r w:rsidR="002728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orders of remission in this case would have been made by the Minister under the power conferred upon</w:t>
      </w:r>
      <w:r w:rsidR="002728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him by section 7(1) of the Customs Tariff Act 12 of 1976 and section 28(1) of the Sales Tax Act 13 of</w:t>
      </w:r>
      <w:r w:rsidR="002728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1976 which require publication of the notice. However, the requirement for publication is no more than</w:t>
      </w:r>
      <w:r w:rsidR="002728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directory and failure to comply will not affect the validity of the remission orders. </w:t>
      </w:r>
      <w:r>
        <w:rPr>
          <w:rFonts w:ascii="Times New Roman" w:hAnsi="Times New Roman" w:cs="Times New Roman"/>
          <w:i/>
          <w:iCs/>
          <w:color w:val="000000"/>
        </w:rPr>
        <w:t xml:space="preserve">Jones v Robson </w:t>
      </w:r>
      <w:r>
        <w:rPr>
          <w:rFonts w:ascii="Times New Roman" w:hAnsi="Times New Roman" w:cs="Times New Roman"/>
          <w:color w:val="000000"/>
        </w:rPr>
        <w:t>[1901]</w:t>
      </w:r>
    </w:p>
    <w:p w:rsidR="00555D1F" w:rsidRDefault="00555D1F" w:rsidP="00555D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 QB 673 adopted.</w:t>
      </w:r>
    </w:p>
    <w:p w:rsidR="00555D1F" w:rsidRDefault="00555D1F" w:rsidP="00555D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Application allowed.</w:t>
      </w:r>
    </w:p>
    <w:p w:rsidR="00555D1F" w:rsidRDefault="00555D1F" w:rsidP="00555D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ruling</w:t>
      </w:r>
    </w:p>
    <w:p w:rsidR="00555D1F" w:rsidRDefault="00555D1F" w:rsidP="00555D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555D1F" w:rsidRDefault="00555D1F" w:rsidP="00555D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555D1F" w:rsidRDefault="00555D1F" w:rsidP="00555D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555D1F" w:rsidRDefault="00555D1F" w:rsidP="00555D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United Kingdom</w:t>
      </w:r>
    </w:p>
    <w:p w:rsidR="00555D1F" w:rsidRDefault="00555D1F" w:rsidP="00555D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Alderson v Maddison </w:t>
      </w:r>
      <w:r>
        <w:rPr>
          <w:rFonts w:ascii="Times New Roman" w:hAnsi="Times New Roman" w:cs="Times New Roman"/>
          <w:color w:val="000000"/>
        </w:rPr>
        <w:t xml:space="preserve">LRS Ex D 293 </w:t>
      </w:r>
      <w:r>
        <w:rPr>
          <w:rFonts w:ascii="Times New Roman" w:hAnsi="Times New Roman" w:cs="Times New Roman"/>
          <w:i/>
          <w:iCs/>
          <w:color w:val="000000"/>
        </w:rPr>
        <w:t xml:space="preserve">– </w:t>
      </w:r>
      <w:r>
        <w:rPr>
          <w:rFonts w:ascii="Times New Roman" w:hAnsi="Times New Roman" w:cs="Times New Roman"/>
          <w:b/>
          <w:bCs/>
          <w:color w:val="000000"/>
        </w:rPr>
        <w:t>A</w:t>
      </w:r>
    </w:p>
    <w:p w:rsidR="003F18BF" w:rsidRDefault="00555D1F" w:rsidP="00555D1F">
      <w:r>
        <w:rPr>
          <w:rFonts w:ascii="Times New Roman" w:hAnsi="Times New Roman" w:cs="Times New Roman"/>
          <w:i/>
          <w:iCs/>
          <w:color w:val="000000"/>
        </w:rPr>
        <w:t xml:space="preserve">Jones v Robson </w:t>
      </w:r>
      <w:r>
        <w:rPr>
          <w:rFonts w:ascii="Times New Roman" w:hAnsi="Times New Roman" w:cs="Times New Roman"/>
          <w:color w:val="000000"/>
        </w:rPr>
        <w:t xml:space="preserve">[1901] I QB 673 </w:t>
      </w:r>
      <w:r>
        <w:rPr>
          <w:rFonts w:ascii="Times New Roman" w:hAnsi="Times New Roman" w:cs="Times New Roman"/>
          <w:i/>
          <w:iCs/>
          <w:color w:val="000000"/>
        </w:rPr>
        <w:t xml:space="preserve">– </w:t>
      </w:r>
      <w:r>
        <w:rPr>
          <w:rFonts w:ascii="Times New Roman" w:hAnsi="Times New Roman" w:cs="Times New Roman"/>
          <w:b/>
          <w:bCs/>
          <w:color w:val="000000"/>
        </w:rPr>
        <w:t>A</w:t>
      </w:r>
    </w:p>
    <w:sectPr w:rsidR="003F18BF" w:rsidSect="00272825"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D1F"/>
    <w:rsid w:val="00272825"/>
    <w:rsid w:val="003F18BF"/>
    <w:rsid w:val="0055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79F52B-6652-48FC-B938-0AB396857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2018-07-05T11:19:00Z</dcterms:created>
  <dcterms:modified xsi:type="dcterms:W3CDTF">2018-07-10T14:41:00Z</dcterms:modified>
</cp:coreProperties>
</file>