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Catholic Diocese of Moshi v Attorney-General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January 1998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3/97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Mapigano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Administrative law – Delegated legislation – Tax remission order had not been published in the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 xml:space="preserve">– Revocation of order before publication in the </w:t>
      </w:r>
      <w:r>
        <w:rPr>
          <w:rFonts w:ascii="Times New Roman" w:hAnsi="Times New Roman" w:cs="Times New Roman"/>
          <w:color w:val="000000"/>
        </w:rPr>
        <w:t xml:space="preserve">Gazette </w:t>
      </w:r>
      <w:r>
        <w:rPr>
          <w:rFonts w:ascii="Times New Roman" w:hAnsi="Times New Roman" w:cs="Times New Roman"/>
          <w:i/>
          <w:iCs/>
          <w:color w:val="000000"/>
        </w:rPr>
        <w:t>– Whether the order had legal validity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prior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publication in the </w:t>
      </w:r>
      <w:r>
        <w:rPr>
          <w:rFonts w:ascii="Times New Roman" w:hAnsi="Times New Roman" w:cs="Times New Roman"/>
          <w:color w:val="000000"/>
        </w:rPr>
        <w:t>Gazette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Doctrine of estoppel – Representation as to future conduct – No contractual obligation –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estoppel would operate against the Minister.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Judicial review – Natural justice – Decision of Minister to give waiver of duty for goods revoked –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Minister took into account irrelevant considerations – Whether Applicants entitled to be heard</w:t>
      </w:r>
    </w:p>
    <w:p w:rsidR="00F043AE" w:rsidRDefault="00F043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there was a failure of natural justice.</w:t>
      </w:r>
    </w:p>
    <w:p w:rsidR="00F043AE" w:rsidRDefault="009824AE" w:rsidP="009824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MAPIGANO J: </w:t>
      </w:r>
      <w:r>
        <w:rPr>
          <w:rFonts w:ascii="Times New Roman" w:hAnsi="Times New Roman" w:cs="Times New Roman"/>
          <w:color w:val="000000"/>
        </w:rPr>
        <w:t>The Applicants have come to this Court to fault the decision of the Minister for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Finance revoking the remissions of import duty and sales tax he had granted in respect of certain goods.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are seeking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 xml:space="preserve">to quash it and an order of </w:t>
      </w:r>
      <w:r>
        <w:rPr>
          <w:rFonts w:ascii="Times New Roman" w:hAnsi="Times New Roman" w:cs="Times New Roman"/>
          <w:i/>
          <w:iCs/>
          <w:color w:val="000000"/>
        </w:rPr>
        <w:t xml:space="preserve">mandamus </w:t>
      </w:r>
      <w:r>
        <w:rPr>
          <w:rFonts w:ascii="Times New Roman" w:hAnsi="Times New Roman" w:cs="Times New Roman"/>
          <w:color w:val="000000"/>
        </w:rPr>
        <w:t>compelling the Minister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subordinates to act with fairness and according to law.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 in dispute that sometime in 1994 the Moshi District Council passed a resolution to solicit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contributions in money and in kind from the general public and various institutions toward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rehabilitation of the </w:t>
      </w:r>
      <w:proofErr w:type="spellStart"/>
      <w:r>
        <w:rPr>
          <w:rFonts w:ascii="Times New Roman" w:hAnsi="Times New Roman" w:cs="Times New Roman"/>
          <w:color w:val="000000"/>
        </w:rPr>
        <w:t>Mandaka-Kilema</w:t>
      </w:r>
      <w:proofErr w:type="spellEnd"/>
      <w:r>
        <w:rPr>
          <w:rFonts w:ascii="Times New Roman" w:hAnsi="Times New Roman" w:cs="Times New Roman"/>
          <w:color w:val="000000"/>
        </w:rPr>
        <w:t xml:space="preserve"> road. Pursuant to that resolution such contributions were sought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Catholic Diocese of Moshi. The Diocese positively responded and promised to do so from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proceeds derived from the sale of used clothes to be imported by it from abroad. It suggested that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remissions of the sales tax and import duty payable on the goods be procured from the government.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Whereupon one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>, a member of Parliament, approached the government and succeeded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obtain such waiver. In July 1996 the Minister for Finance proceeded to prepare and sign orders to that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effect, and the Applicants then appointed agents to clear the goods from the port of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and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transport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to Moshi. But before the publication of the orders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the Applicants were notified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Second Respondent that the Minister had reneged on the remissions and that the Diocese was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bound to pay the whole duty and sales tax on the goods which had arrived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-Salaam. Not only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that. The Second Respondent later advertised an auction sale of the goods.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the submissions made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Ismail</w:t>
      </w:r>
      <w:r>
        <w:rPr>
          <w:rFonts w:ascii="Times New Roman" w:hAnsi="Times New Roman" w:cs="Times New Roman"/>
          <w:color w:val="000000"/>
        </w:rPr>
        <w:t xml:space="preserve">, learned advocate,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color w:val="000000"/>
        </w:rPr>
        <w:t>, learned State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Attorney, on behalf of the Applicants and the Respondents, respectively, there are five points of law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which pose for determination in this case. The first relates to the political status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>;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is the assertion that the Diocese was denied natural justice; the third is about the applicability of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doctrine of estoppel; the fourth concerns the legal validity of the unpublished remission orders; and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fifth, which is urged in the alternative, is whether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 175 and 176 of 1973 can be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resorted to.</w:t>
      </w:r>
    </w:p>
    <w:p w:rsidR="00F043AE" w:rsidRPr="009824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will start with the last point. The question is whether the remissions should have been granted under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those two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 xml:space="preserve">Notices in any event.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Ismail </w:t>
      </w:r>
      <w:r>
        <w:rPr>
          <w:rFonts w:ascii="Times New Roman" w:hAnsi="Times New Roman" w:cs="Times New Roman"/>
          <w:color w:val="000000"/>
        </w:rPr>
        <w:t>points out that the Diocese being a religious institution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entitled to be exempted from payment of import duty and sales tax by virtue of those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Notices. Accordingly, he argues, if the Minister no longer wished to grant the remissions in terms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proposed by the Diocese, he should have directed the Diocese to comply with the condition set out in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Notices, namely, not to sell or otherwise dispose of the goods in return for any material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consideration. This seems to me to be a sensible proposition.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 however that if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diocese was a beneficiary under those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Notices, then it should not have sought the remissions.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simple and obvious answer to that is that remissions under those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 would have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benefited the road rehabilitation project. The Diocese’s idea was to sell the goods and put the amount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realized into </w:t>
      </w:r>
      <w:r>
        <w:rPr>
          <w:rFonts w:ascii="Times New Roman" w:hAnsi="Times New Roman" w:cs="Times New Roman"/>
          <w:color w:val="000000"/>
        </w:rPr>
        <w:lastRenderedPageBreak/>
        <w:t>the project. But as just pointed out, the conditions attached to the exemption given by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Notices is that the goods should not be sold or otherwise disposed of in return for any material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turn to the first question, which is whether the Minister’s failure to keep his word was induced by an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irrelevant and improper </w:t>
      </w:r>
      <w:r w:rsidR="009824AE">
        <w:rPr>
          <w:rFonts w:ascii="Times New Roman" w:hAnsi="Times New Roman" w:cs="Times New Roman"/>
          <w:color w:val="000000"/>
        </w:rPr>
        <w:t>consideration that</w:t>
      </w:r>
      <w:r>
        <w:rPr>
          <w:rFonts w:ascii="Times New Roman" w:hAnsi="Times New Roman" w:cs="Times New Roman"/>
          <w:color w:val="000000"/>
        </w:rPr>
        <w:t xml:space="preserve"> is the fact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 xml:space="preserve"> was a member of an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opposition political party. I must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is sheer speculation that the Minister’s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was induced by the political status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 xml:space="preserve">. For one thing, we have been told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9824A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 xml:space="preserve"> was in the forefront in the seeking of the exemptions, and I cannot bring myself to believe that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Minister was not aware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Mbatia</w:t>
      </w:r>
      <w:proofErr w:type="spellEnd"/>
      <w:r>
        <w:rPr>
          <w:rFonts w:ascii="Times New Roman" w:hAnsi="Times New Roman" w:cs="Times New Roman"/>
          <w:color w:val="000000"/>
        </w:rPr>
        <w:t xml:space="preserve"> was a member of an opposition political party before he made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give the exemptions. So my reply is in the negative.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question is whether the withdrawal of the remissions constituted a breach of the rules of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natural justice. It is said that the Applicants were not afforded any opportunity of making representation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Minister took the decision to revoke the remissions, and it is pointed out that the Minister did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state any reason for doing so. On his part,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submits that there was no occasion to bring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of natural justice into play. And he makes the allegation that official investigations carried out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revealed gross misuses of exemptions which had been granted to religious bodies.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regret to say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Mwidunda’</w:t>
      </w:r>
      <w:r>
        <w:rPr>
          <w:rFonts w:ascii="Times New Roman" w:hAnsi="Times New Roman" w:cs="Times New Roman"/>
          <w:color w:val="000000"/>
        </w:rPr>
        <w:t>s</w:t>
      </w:r>
      <w:proofErr w:type="spellEnd"/>
      <w:r>
        <w:rPr>
          <w:rFonts w:ascii="Times New Roman" w:hAnsi="Times New Roman" w:cs="Times New Roman"/>
          <w:color w:val="000000"/>
        </w:rPr>
        <w:t xml:space="preserve"> assertion is untenable. There is no evidence to support it. Even if it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true that such investigations took place and that the Diocese was implicated in the alleged misuses,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fairness demanded that it be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the opportunity of being heard about the matter, considering that it stood to be prejudiced by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revocation of the remissions, for it had already spent money on the transportation of the goods.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next question is whether the doctrine of estoppel operated against the Minister’s denial of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validity of the unpublished remission orders,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right in saying that estoppel is a rule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by which a party litigant is precluded, as against the other party, from contradicting in that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the truth of any representation previously made by him to such other party with the object and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inducing him to alter his position to his detriment.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Ismail </w:t>
      </w:r>
      <w:r>
        <w:rPr>
          <w:rFonts w:ascii="Times New Roman" w:hAnsi="Times New Roman" w:cs="Times New Roman"/>
          <w:color w:val="000000"/>
        </w:rPr>
        <w:t>contends that it was in reliance on the Minister’s representation that the Diocese committed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to make the contributions, and proceeded to import the goods and to pay the freight thereon. If I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understood him correctly, the representation consists in the Minister’s promise that he would have had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remission orders published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 xml:space="preserve">. On the other hand,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maintains that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 of estoppel cannot operate in this case.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right. Indeed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Ismail</w:t>
      </w:r>
      <w:r>
        <w:rPr>
          <w:rFonts w:ascii="Times New Roman" w:hAnsi="Times New Roman" w:cs="Times New Roman"/>
          <w:color w:val="000000"/>
        </w:rPr>
        <w:t>’s contention reminds one of the caution given by one learned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text writer that perhaps no other technical legal term is more loosely used than the term “estoppel’. As I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 the law, in order to give rise to an estoppel a representation must relate to an existing fact or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past event. A mere statement of intention or a promise to do something in future does not create an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estoppel. As was stated in the old case of </w:t>
      </w:r>
      <w:r>
        <w:rPr>
          <w:rFonts w:ascii="Times New Roman" w:hAnsi="Times New Roman" w:cs="Times New Roman"/>
          <w:i/>
          <w:iCs/>
          <w:color w:val="000000"/>
        </w:rPr>
        <w:t xml:space="preserve">Alderson v Maddison </w:t>
      </w:r>
      <w:r>
        <w:rPr>
          <w:rFonts w:ascii="Times New Roman" w:hAnsi="Times New Roman" w:cs="Times New Roman"/>
          <w:color w:val="000000"/>
        </w:rPr>
        <w:t>LRS Ex D 293, and I quote: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“There is a class of false representation which have no legal effect. Those are cases in which a person excites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expectations which he does not fulfil, as for instance; where a person leads another to believe that he intends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make him his heir, and then leaves his property away from him. Though such conduct may inflict greater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loss on the sufferer than almost any breach of contract, and may involve greater moral guilt than many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common frauds, it involves no legal consequences, unless the person making the representation not only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excites the expectation that it will be fulfilled, but legally binds himself to fulfil it, in which case he must, as it</w:t>
      </w:r>
      <w:r w:rsidR="009824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seems to me, contract to fulfil it”.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need hardly say that the Minister’s representation was essentially a promise </w:t>
      </w:r>
      <w:r>
        <w:rPr>
          <w:rFonts w:ascii="Times New Roman" w:hAnsi="Times New Roman" w:cs="Times New Roman"/>
          <w:i/>
          <w:iCs/>
          <w:color w:val="000000"/>
        </w:rPr>
        <w:t xml:space="preserve">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futuro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there is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suggestion here, let alone evidence, that the Minister contracted to fulfil it. I regret to say, therefore,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estoppel cannot operate.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finally come to the question whether the non-publication of the remission orders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 w:rsidR="00982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affects the legal validity of the same. This, in my view, is the all-important question in this case. There is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the subsidiary question whether, if the orders had been published, they would have had legislative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Ismail </w:t>
      </w:r>
      <w:r>
        <w:rPr>
          <w:rFonts w:ascii="Times New Roman" w:hAnsi="Times New Roman" w:cs="Times New Roman"/>
          <w:color w:val="000000"/>
        </w:rPr>
        <w:t>would have me answer both the principal and subsidiary questions in the negative, and 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relies on the provisions of section 26 of the Interpretation of Laws and General Clauses Act of 1972. By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provision any subsidiary legislation must be published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, unless it is otherwise expressly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provided in the parent Act, or relates to the appointment of any person to any office; or relates to any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matter not having legislative effect. And it is to be observed that the definition given to the term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“subsidiary legislation” by section 3(1) of the Act includes any order or notice made under any Act or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lawful authority.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Ismail </w:t>
      </w:r>
      <w:r>
        <w:rPr>
          <w:rFonts w:ascii="Times New Roman" w:hAnsi="Times New Roman" w:cs="Times New Roman"/>
          <w:color w:val="000000"/>
        </w:rPr>
        <w:t xml:space="preserve">has expressed the view that even if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such remission orders do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have any legislative effect.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holds the opposite view. He contends that had the orders been published they would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had a legislative effect. More importantly, he points out that the orders could only have been made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Minister under the power conferred upon him by section 7(1) of the Customs Tariff Act of 1976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(Act 12 of 1976) and section 28(1) of the Sales Tax Act of 1976 (Act 13 of 1976). He contends that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those provisions such remissions must be given by publication in the </w:t>
      </w:r>
      <w:r>
        <w:rPr>
          <w:rFonts w:ascii="Times New Roman" w:hAnsi="Times New Roman" w:cs="Times New Roman"/>
          <w:i/>
          <w:iCs/>
          <w:color w:val="000000"/>
        </w:rPr>
        <w:t>Gazette</w:t>
      </w:r>
      <w:r>
        <w:rPr>
          <w:rFonts w:ascii="Times New Roman" w:hAnsi="Times New Roman" w:cs="Times New Roman"/>
          <w:color w:val="000000"/>
        </w:rPr>
        <w:t>, and that such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is a prerequisite of validity of the remissions. Accordingly, he submits that there was no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remission of duty and tax given to the Diocese in the contemplation of law, and that therefore this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wholly misconceived.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question whether such remission orders have legislative effect when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, it is important to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 in mind the point made by Professor Wade in his work on administrative law that there is an infinite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series of gradations between what is plainly legislation and what is plainly administration. My considered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firm opinion is that remission orders made by the Minister under the two statutory provisions are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administrative acts and have no legislative effect whatever.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principal question whether publication is an absolute precondition of the remissions having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legal validity, I go by the view expressed by Professor Wade, who cites the decision in </w:t>
      </w:r>
      <w:r>
        <w:rPr>
          <w:rFonts w:ascii="Times New Roman" w:hAnsi="Times New Roman" w:cs="Times New Roman"/>
          <w:i/>
          <w:iCs/>
          <w:color w:val="000000"/>
        </w:rPr>
        <w:t>Jones v Robson</w:t>
      </w:r>
      <w:r w:rsidR="009824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[1901] 1 QB 673, that the requirement that such orders be given publicity in the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is no more than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directory, and a failure to comply with the directive will not affect the validity of the orders. As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eminent professor reminds us in the same book, the whole objective behind such publication is to bring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purport of the order concerned to the notice of the public or of persons likely to be affected by it,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thereby making the legal maxim “ignorance of the law does not excuse” more rational, in view of the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growing stream of delegated legislation. It is, however, food for reflection whether our </w:t>
      </w:r>
      <w:r>
        <w:rPr>
          <w:rFonts w:ascii="Times New Roman" w:hAnsi="Times New Roman" w:cs="Times New Roman"/>
          <w:i/>
          <w:iCs/>
          <w:color w:val="000000"/>
        </w:rPr>
        <w:t xml:space="preserve">Gazette </w:t>
      </w:r>
      <w:r>
        <w:rPr>
          <w:rFonts w:ascii="Times New Roman" w:hAnsi="Times New Roman" w:cs="Times New Roman"/>
          <w:color w:val="000000"/>
        </w:rPr>
        <w:t>is really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ideal or efficient medium for such publicity in Tanzania.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in the result come to the conclusion that the Minister’s decision to revoke the remissions was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improperly taken and that it should be quashed and that though the remissions were not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>, they are</w:t>
      </w:r>
      <w:r w:rsidR="009824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nevertheless legally valid and should thus be </w:t>
      </w:r>
      <w:proofErr w:type="spellStart"/>
      <w:r>
        <w:rPr>
          <w:rFonts w:ascii="Times New Roman" w:hAnsi="Times New Roman" w:cs="Times New Roman"/>
          <w:color w:val="000000"/>
        </w:rPr>
        <w:t>honoured</w:t>
      </w:r>
      <w:proofErr w:type="spellEnd"/>
      <w:r>
        <w:rPr>
          <w:rFonts w:ascii="Times New Roman" w:hAnsi="Times New Roman" w:cs="Times New Roman"/>
          <w:color w:val="000000"/>
        </w:rPr>
        <w:t xml:space="preserve"> by the Second Respondent. It is so ordered.</w:t>
      </w:r>
      <w:bookmarkStart w:id="0" w:name="_GoBack"/>
      <w:bookmarkEnd w:id="0"/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Ismail</w:t>
      </w:r>
    </w:p>
    <w:p w:rsidR="00F043AE" w:rsidRDefault="00F043AE" w:rsidP="00F04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3F18BF" w:rsidRDefault="00F043AE" w:rsidP="00F043AE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Mwidunda</w:t>
      </w:r>
      <w:proofErr w:type="spellEnd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AE"/>
    <w:rsid w:val="003F18BF"/>
    <w:rsid w:val="009824AE"/>
    <w:rsid w:val="00F0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ECA63-B7AA-4775-AE12-E21563F1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2018-07-05T11:19:00Z</dcterms:created>
  <dcterms:modified xsi:type="dcterms:W3CDTF">2018-07-10T14:46:00Z</dcterms:modified>
</cp:coreProperties>
</file>