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7F" w:rsidRDefault="00C84B7F" w:rsidP="007B6D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Central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Organisation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of Trade Unions (Kenya) </w:t>
      </w:r>
      <w:r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  <w:t xml:space="preserve">ex parte 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Chamber Summons</w:t>
      </w:r>
    </w:p>
    <w:p w:rsidR="00C84B7F" w:rsidRDefault="00C84B7F" w:rsidP="007B6D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  <w:t>Re</w:t>
      </w:r>
    </w:p>
    <w:p w:rsidR="00C84B7F" w:rsidRDefault="00C84B7F" w:rsidP="007B6D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C84B7F" w:rsidRDefault="00C84B7F" w:rsidP="007B6D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 February 2006</w:t>
      </w:r>
    </w:p>
    <w:p w:rsidR="00C84B7F" w:rsidRDefault="00C84B7F" w:rsidP="007B6D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1747/04</w:t>
      </w:r>
    </w:p>
    <w:p w:rsidR="00C84B7F" w:rsidRDefault="00C84B7F" w:rsidP="007B6D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C84B7F" w:rsidRDefault="00C84B7F" w:rsidP="007B6D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84B7F" w:rsidRDefault="00C84B7F" w:rsidP="007B6D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C84B7F" w:rsidRDefault="00C84B7F" w:rsidP="007B6D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Judicial review – Jurisdiction, whether judicial review limited to illegality in procedure – Expansion</w:t>
      </w:r>
    </w:p>
    <w:p w:rsidR="00C84B7F" w:rsidRDefault="00C84B7F" w:rsidP="007B6D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scope of judicial review.</w:t>
      </w:r>
    </w:p>
    <w:p w:rsidR="00C84B7F" w:rsidRDefault="00C84B7F" w:rsidP="007B6D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Judicial review – Notice to the Registrar – Whether failure to give the Registrar notice in good time</w:t>
      </w:r>
    </w:p>
    <w:p w:rsidR="00C84B7F" w:rsidRDefault="00C84B7F" w:rsidP="007B6D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fundamental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the application.</w:t>
      </w:r>
    </w:p>
    <w:p w:rsidR="00C84B7F" w:rsidRDefault="00C84B7F" w:rsidP="007B6D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Judicial review – Time within which to apply for certiorari – Whether the rule applies to all</w:t>
      </w:r>
    </w:p>
    <w:p w:rsidR="00C84B7F" w:rsidRDefault="00C84B7F" w:rsidP="007B6D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decisions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being challenged – Effect of delay in making application for judicial review.</w:t>
      </w:r>
    </w:p>
    <w:p w:rsidR="00C84B7F" w:rsidRDefault="00C84B7F" w:rsidP="007B6D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Judicial review – Whether it is necessary to state order sought in the application.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applicant sought an order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 xml:space="preserve">to quash the decision of the Minister for Health to </w:t>
      </w:r>
      <w:proofErr w:type="spellStart"/>
      <w:r>
        <w:rPr>
          <w:rFonts w:ascii="Times New Roman" w:hAnsi="Times New Roman" w:cs="Times New Roman"/>
          <w:color w:val="000000"/>
        </w:rPr>
        <w:t>degazette</w:t>
      </w:r>
      <w:proofErr w:type="spellEnd"/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appointment of its member to the National Hospital Insurance Fund’s management board. It also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 an order mandamus compelling the Minister to reinstate the member.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 filed a preliminary objection on the grounds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that the application did not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specify the relief sought, the grounds do not envisage an illegality in its making process, notice under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 53, rule 1(3) was not given later than the preceding day, </w:t>
      </w:r>
      <w:r>
        <w:rPr>
          <w:rFonts w:ascii="Times New Roman" w:hAnsi="Times New Roman" w:cs="Times New Roman"/>
          <w:i/>
          <w:iCs/>
          <w:color w:val="000000"/>
        </w:rPr>
        <w:t xml:space="preserve">res judicata </w:t>
      </w:r>
      <w:r>
        <w:rPr>
          <w:rFonts w:ascii="Times New Roman" w:hAnsi="Times New Roman" w:cs="Times New Roman"/>
          <w:color w:val="000000"/>
        </w:rPr>
        <w:t>applied to the suit and that the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orders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was filed more than six months after the decision had been made and that notice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given to them before the suit was filed.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It is not necessary to specify that one is seeking an order of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>
        <w:rPr>
          <w:rFonts w:ascii="Times New Roman" w:hAnsi="Times New Roman" w:cs="Times New Roman"/>
          <w:color w:val="000000"/>
        </w:rPr>
        <w:t>. A quashing order or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 xml:space="preserve">would suffice. A quashing order is the other name for the judicial order of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>
        <w:rPr>
          <w:rFonts w:ascii="Times New Roman" w:hAnsi="Times New Roman" w:cs="Times New Roman"/>
          <w:color w:val="000000"/>
        </w:rPr>
        <w:t>, a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compliance order or compelling order would suffice for </w:t>
      </w:r>
      <w:r>
        <w:rPr>
          <w:rFonts w:ascii="Times New Roman" w:hAnsi="Times New Roman" w:cs="Times New Roman"/>
          <w:i/>
          <w:iCs/>
          <w:color w:val="000000"/>
        </w:rPr>
        <w:t>mandamus.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Concerning the reinstatement, the objection to it can only arise from the fact that once a quashing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is given the decision making body has to appoint in accordance with the law and the court cannot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the decision for the challenged body and the body appears to have a discretion in appointing any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of the nominees.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While it is true that so far the jurisdiction of a judicial review court has been principally based on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illegality, irrationality and impropriety of procedure, categories of intervention by the court are likely to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expanded in future on a case to case basis. (</w:t>
      </w:r>
      <w:r>
        <w:rPr>
          <w:rFonts w:ascii="Times New Roman" w:hAnsi="Times New Roman" w:cs="Times New Roman"/>
          <w:i/>
          <w:iCs/>
          <w:color w:val="000000"/>
        </w:rPr>
        <w:t xml:space="preserve">R v Transport Licensing Board ex parte Charles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Karanja</w:t>
      </w:r>
      <w:proofErr w:type="spellEnd"/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followed).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Although the rule that the Deputy Registrar should be given notice not later than the preceding day is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worded in mandatory terms, the court does have a discretion under the proviso to excuse the failure to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 the notice for good cause shown. However, no cause was shown and the preliminary objection is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upheld on this ground.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53, rule 2 only relates to the challenge of the formal orders set out in the rule and it is not of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application. The challenged decision in this case falls outside the formal orders set out therein. In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event the decision was reflected in a Gazette notice and not in any order. This falls outside the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 under the order and the objection is overruled on this ground. (</w:t>
      </w:r>
      <w:r>
        <w:rPr>
          <w:rFonts w:ascii="Times New Roman" w:hAnsi="Times New Roman" w:cs="Times New Roman"/>
          <w:i/>
          <w:iCs/>
          <w:color w:val="000000"/>
        </w:rPr>
        <w:t xml:space="preserve">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Goldenburg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Commission</w:t>
      </w:r>
      <w:r w:rsidR="007B6DF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and another 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Mwalulu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followed).</w:t>
      </w:r>
    </w:p>
    <w:p w:rsidR="00C84B7F" w:rsidRPr="007B6DFB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Generally notice should be given to the respondent prior to the institution of the suit. However, since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 has been granted in this matter the court cannot reopen it to apply this principle. (</w:t>
      </w:r>
      <w:r>
        <w:rPr>
          <w:rFonts w:ascii="Times New Roman" w:hAnsi="Times New Roman" w:cs="Times New Roman"/>
          <w:i/>
          <w:iCs/>
          <w:color w:val="000000"/>
        </w:rPr>
        <w:t>R v Horsham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District Council 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Wenman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[1993] The Times 21 October followed).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The term of the affected director had expired before leave was granted and no disclosure was made to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concerning this. The order of reinstatement is therefore being sought in vain and there has been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 non-disclosure of the fact and the preliminary objection will be sustained on this ground. (</w:t>
      </w:r>
      <w:r>
        <w:rPr>
          <w:rFonts w:ascii="Times New Roman" w:hAnsi="Times New Roman" w:cs="Times New Roman"/>
          <w:i/>
          <w:iCs/>
          <w:color w:val="000000"/>
        </w:rPr>
        <w:t>R v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Kensington Commissioner 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Polignac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[1917] KB 486; </w:t>
      </w:r>
      <w:r>
        <w:rPr>
          <w:rFonts w:ascii="Times New Roman" w:hAnsi="Times New Roman" w:cs="Times New Roman"/>
          <w:i/>
          <w:iCs/>
          <w:color w:val="000000"/>
        </w:rPr>
        <w:t xml:space="preserve">R v Land Registrar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Kajiado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ex parte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lastRenderedPageBreak/>
        <w:t>Kinserk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followed).</w:t>
      </w:r>
    </w:p>
    <w:p w:rsidR="00C84B7F" w:rsidRPr="007B6DFB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Applications for judicial review are required to be made promptly. Undue delay in applying is a major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factor and the needs of good administration must be borne in mind. Courts cannot hold the decision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making </w:t>
      </w:r>
      <w:proofErr w:type="gramStart"/>
      <w:r>
        <w:rPr>
          <w:rFonts w:ascii="Times New Roman" w:hAnsi="Times New Roman" w:cs="Times New Roman"/>
          <w:color w:val="000000"/>
        </w:rPr>
        <w:t>bodies</w:t>
      </w:r>
      <w:proofErr w:type="gramEnd"/>
      <w:r>
        <w:rPr>
          <w:rFonts w:ascii="Times New Roman" w:hAnsi="Times New Roman" w:cs="Times New Roman"/>
          <w:color w:val="000000"/>
        </w:rPr>
        <w:t xml:space="preserve"> hostage. (</w:t>
      </w:r>
      <w:r>
        <w:rPr>
          <w:rFonts w:ascii="Times New Roman" w:hAnsi="Times New Roman" w:cs="Times New Roman"/>
          <w:i/>
          <w:iCs/>
          <w:color w:val="000000"/>
        </w:rPr>
        <w:t xml:space="preserve">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Kesington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Income Tax Commissioners ex parte Princess Edmond De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Polignac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applied).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Even when an applicant discloses meritorious grounds for relief such relief can be denied if he sat on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rights and failed to seek relief in good time and with due diligence.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  <w:r w:rsidR="007B6DFB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means</w:t>
      </w:r>
      <w:proofErr w:type="gramEnd"/>
      <w:r>
        <w:rPr>
          <w:rFonts w:ascii="Times New Roman" w:hAnsi="Times New Roman" w:cs="Times New Roman"/>
          <w:color w:val="000000"/>
        </w:rPr>
        <w:t xml:space="preserve">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 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overruled</w:t>
      </w:r>
      <w:proofErr w:type="gramEnd"/>
      <w:r>
        <w:rPr>
          <w:rFonts w:ascii="Times New Roman" w:hAnsi="Times New Roman" w:cs="Times New Roman"/>
          <w:color w:val="000000"/>
        </w:rPr>
        <w:t>)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Goldenberg Commission and another 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Mwalulu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Horsham District Council 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Wenman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[1993] The Times 21 October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Land Registrar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Kajiado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Kinserk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Transport Licensing Board ex parte Charles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Karanja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Rajwani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Chief Magistrates Court </w:t>
      </w:r>
      <w:r>
        <w:rPr>
          <w:rFonts w:ascii="Times New Roman" w:hAnsi="Times New Roman" w:cs="Times New Roman"/>
          <w:color w:val="000000"/>
        </w:rPr>
        <w:t>1544 of 2004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C84B7F" w:rsidRDefault="00C84B7F" w:rsidP="00C84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Kensington Commissioner 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Polignac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[1917] 1 KB 486 – </w:t>
      </w:r>
      <w:r>
        <w:rPr>
          <w:rFonts w:ascii="Times New Roman" w:hAnsi="Times New Roman" w:cs="Times New Roman"/>
          <w:b/>
          <w:bCs/>
          <w:color w:val="000000"/>
        </w:rPr>
        <w:t xml:space="preserve">AP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EE7594" w:rsidRDefault="00C84B7F" w:rsidP="00C84B7F">
      <w:r>
        <w:rPr>
          <w:rFonts w:ascii="Times New Roman" w:hAnsi="Times New Roman" w:cs="Times New Roman"/>
          <w:i/>
          <w:iCs/>
          <w:color w:val="000000"/>
        </w:rPr>
        <w:t xml:space="preserve">R v Secretary of State for the Environment ex parte Hackney London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Bourough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Council </w:t>
      </w:r>
      <w:r>
        <w:rPr>
          <w:rFonts w:ascii="Times New Roman" w:hAnsi="Times New Roman" w:cs="Times New Roman"/>
          <w:color w:val="000000"/>
        </w:rPr>
        <w:t>[1984] 1</w:t>
      </w:r>
    </w:p>
    <w:sectPr w:rsidR="00EE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7F"/>
    <w:rsid w:val="007B6DFB"/>
    <w:rsid w:val="00C84B7F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FFAFE-24BF-4D0A-933C-DD5FB7A9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2018-07-05T08:51:00Z</dcterms:created>
  <dcterms:modified xsi:type="dcterms:W3CDTF">2018-07-10T14:59:00Z</dcterms:modified>
</cp:coreProperties>
</file>