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Central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Organisation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of Trade Unions (Kenya)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Chamber Summons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>Re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February 2006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1747/04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Jurisdiction, whether judicial review limited to illegality in procedure – Expansion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scope of judicial review.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Notice to the Registrar – Whether failure to give the Registrar notice in good time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fundamental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the application.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Judicial review – Time within which to apply for certiorari – Whether the rule applies to all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decisions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being challenged – Effect of delay in making application for judicial review.</w:t>
      </w:r>
    </w:p>
    <w:p w:rsidR="002E16EE" w:rsidRDefault="002E16EE" w:rsidP="00A303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Whether it is necessary to state order sought in the application.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The applicant seeks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to bring to this Court the decision of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Charity </w:t>
      </w:r>
      <w:proofErr w:type="spellStart"/>
      <w:r>
        <w:rPr>
          <w:rFonts w:ascii="Times New Roman" w:hAnsi="Times New Roman" w:cs="Times New Roman"/>
          <w:color w:val="000000"/>
        </w:rPr>
        <w:t>Ngilu</w:t>
      </w:r>
      <w:proofErr w:type="spellEnd"/>
      <w:r>
        <w:rPr>
          <w:rFonts w:ascii="Times New Roman" w:hAnsi="Times New Roman" w:cs="Times New Roman"/>
          <w:color w:val="000000"/>
        </w:rPr>
        <w:t>, Minister for Health, carried under Gazette Notice number 376 of 19 December 2003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wherein the appointment of the applicants’ member to the Board of Management of the National Hospital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Insurance Fund was </w:t>
      </w:r>
      <w:proofErr w:type="spellStart"/>
      <w:r>
        <w:rPr>
          <w:rFonts w:ascii="Times New Roman" w:hAnsi="Times New Roman" w:cs="Times New Roman"/>
          <w:color w:val="000000"/>
        </w:rPr>
        <w:t>degazetted</w:t>
      </w:r>
      <w:proofErr w:type="spellEnd"/>
      <w:r>
        <w:rPr>
          <w:rFonts w:ascii="Times New Roman" w:hAnsi="Times New Roman" w:cs="Times New Roman"/>
          <w:color w:val="000000"/>
        </w:rPr>
        <w:t xml:space="preserve">. The member’s name is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who had vide an earlier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Gazette Notice number 5463 of 23 August 2002 been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as a member of the Board of Management.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 COTU (Central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of Trade Unions) further seeks an order of mandamus to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compel the respondents to comply with Gazette Notice number 5463 of 23 August 2002 by effecting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reinstatement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to the Board of Management of the Fund.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matter came for hearing before me on 5 December 2005 counsel for the respective parties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that they intended to have the preliminary objection raised by the first respondent’s counsel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and determined first.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 before setting out the grounds of objection it is necessary to outline the factual background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parties have agreed that they do share a common ground on this: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By a letter dated 28 April 2003 the second respondent had requested the applicant to nominate 3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from whom the Minister for Health could appoint any one of them to be a member of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Board.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By a letter dated 28 April 2003 the applicant submitted 3 nominees for consideration by the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Minister for Health.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By a letter dated 12 May 2003 the applicant indicated to the second respondent that its preferred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nominee would be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By a Gazette Notice 5463 of 23 August 2002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was appointed a member of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respondent’s Board. The term was to convene on 15 July 2002 and expire on 14 May 2005.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By Gazette Notice 376 of 19 January 2004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was removed from the Board of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Management.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On 23 December 2003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filed an application being High Court case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miscellaneous 1613 of 2003 seeking precisely the same orders and based essentially on the same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disputed grounds as in this suit.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(7) On 2 July 2004 this Court dismissed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Muchai’s</w:t>
      </w:r>
      <w:proofErr w:type="spellEnd"/>
      <w:r>
        <w:rPr>
          <w:rFonts w:ascii="Times New Roman" w:hAnsi="Times New Roman" w:cs="Times New Roman"/>
          <w:color w:val="000000"/>
        </w:rPr>
        <w:t xml:space="preserve"> application.</w:t>
      </w:r>
    </w:p>
    <w:p w:rsidR="002E16EE" w:rsidRDefault="00A303A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E16EE">
        <w:rPr>
          <w:rFonts w:ascii="Times New Roman" w:hAnsi="Times New Roman" w:cs="Times New Roman"/>
          <w:color w:val="000000"/>
        </w:rPr>
        <w:t>(8) On 31 May 2004 the applicant herein COTU sought leave to apply for the same orders and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E16EE">
        <w:rPr>
          <w:rFonts w:ascii="Times New Roman" w:hAnsi="Times New Roman" w:cs="Times New Roman"/>
          <w:color w:val="000000"/>
        </w:rPr>
        <w:t>same was granted by this Court.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(9) On 21 June 2005 the current application by way of Notice of Motion was filed.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objections raised are: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The orders sought are not available in law and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has no jurisdiction to grant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orders as pleaded.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The suit is debarred by the principle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and/or issue estoppel and can only be struck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application is fatally defective, frivolous and a collateral attack on the rejection of an earlier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the umbrella of the above general grounds the second respondent has specified his objections as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 statement of facts does not specify what relief and grounds or orders are being sought by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contrary to Order 53, rule 1(2).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grounds as set out do not envisage the illegality or/and irrationality and/or outrageousness of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second respondent’s decision making process.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Notice under Order 53, rule 1(3) was not given later than the preceding day.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That the application for leave was filed on 17 December 2004 to challenge a decision made on 10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January 2004 contrary to Order 53, rule 2 which provide that no leave shall be granted for orders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certiorari unless the leave is made “not later than six months”.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(v) No notice was given by the applicant to the second respondent prior to instituting this suit.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(vi) The orders sought cannot be granted or effected as the term for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was to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serve</w:t>
      </w:r>
      <w:proofErr w:type="gramEnd"/>
      <w:r>
        <w:rPr>
          <w:rFonts w:ascii="Times New Roman" w:hAnsi="Times New Roman" w:cs="Times New Roman"/>
          <w:color w:val="000000"/>
        </w:rPr>
        <w:t xml:space="preserve"> in the second respondent’s Board expired on 14 May before leave was granted.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having filed High Court miscellaneous 1613 of 2003 which was dismissed on 2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July 2004, it is trite that issue estoppel and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 xml:space="preserve">bars a party from </w:t>
      </w:r>
      <w:proofErr w:type="spellStart"/>
      <w:r>
        <w:rPr>
          <w:rFonts w:ascii="Times New Roman" w:hAnsi="Times New Roman" w:cs="Times New Roman"/>
          <w:color w:val="000000"/>
        </w:rPr>
        <w:t>relitigating</w:t>
      </w:r>
      <w:proofErr w:type="spellEnd"/>
      <w:r>
        <w:rPr>
          <w:rFonts w:ascii="Times New Roman" w:hAnsi="Times New Roman" w:cs="Times New Roman"/>
          <w:color w:val="000000"/>
        </w:rPr>
        <w:t xml:space="preserve"> matters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ruled on by the court and that the application is a collateral attack on the rejection of High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miscellaneous 1613 of 2003.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(viii) </w:t>
      </w:r>
      <w:r w:rsidR="00A303AE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applicant failed to disclose to the court that at the time leave was being granted the term to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 on the board for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had expired on14 May 2005 and the applicant’s affidavit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Francis </w:t>
      </w:r>
      <w:proofErr w:type="spellStart"/>
      <w:r>
        <w:rPr>
          <w:rFonts w:ascii="Times New Roman" w:hAnsi="Times New Roman" w:cs="Times New Roman"/>
          <w:color w:val="000000"/>
        </w:rPr>
        <w:t>Atwoli</w:t>
      </w:r>
      <w:proofErr w:type="spellEnd"/>
      <w:r>
        <w:rPr>
          <w:rFonts w:ascii="Times New Roman" w:hAnsi="Times New Roman" w:cs="Times New Roman"/>
          <w:color w:val="000000"/>
        </w:rPr>
        <w:t xml:space="preserve"> dated 15 December 2004 is misleading as material facts were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concealed yet those facts were essential in determining whether the applicant was eligible for leave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institute judicial review proceedings.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(ix) Applicant must act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uberrimae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fides </w:t>
      </w:r>
      <w:r>
        <w:rPr>
          <w:rFonts w:ascii="Times New Roman" w:hAnsi="Times New Roman" w:cs="Times New Roman"/>
          <w:color w:val="000000"/>
        </w:rPr>
        <w:t>by making full and frank disclosure of all material facts to be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at the threshold.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has responded as under: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The grounds upon which the application is grounded are: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) The </w:t>
      </w:r>
      <w:proofErr w:type="spellStart"/>
      <w:r>
        <w:rPr>
          <w:rFonts w:ascii="Times New Roman" w:hAnsi="Times New Roman" w:cs="Times New Roman"/>
          <w:color w:val="000000"/>
        </w:rPr>
        <w:t>unprocedural</w:t>
      </w:r>
      <w:proofErr w:type="spellEnd"/>
      <w:r>
        <w:rPr>
          <w:rFonts w:ascii="Times New Roman" w:hAnsi="Times New Roman" w:cs="Times New Roman"/>
          <w:color w:val="000000"/>
        </w:rPr>
        <w:t xml:space="preserve"> replacement of George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proofErr w:type="gramEnd"/>
      <w:r>
        <w:rPr>
          <w:rFonts w:ascii="Times New Roman" w:hAnsi="Times New Roman" w:cs="Times New Roman"/>
          <w:color w:val="000000"/>
        </w:rPr>
        <w:t xml:space="preserve">) The respondents are duty bound to </w:t>
      </w:r>
      <w:proofErr w:type="spellStart"/>
      <w:r>
        <w:rPr>
          <w:rFonts w:ascii="Times New Roman" w:hAnsi="Times New Roman" w:cs="Times New Roman"/>
          <w:color w:val="000000"/>
        </w:rPr>
        <w:t>honour</w:t>
      </w:r>
      <w:proofErr w:type="spellEnd"/>
      <w:r>
        <w:rPr>
          <w:rFonts w:ascii="Times New Roman" w:hAnsi="Times New Roman" w:cs="Times New Roman"/>
          <w:color w:val="000000"/>
        </w:rPr>
        <w:t xml:space="preserve"> and comply with the provisions of Gazette Notice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5463 of 23 August 2002.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c</w:t>
      </w:r>
      <w:proofErr w:type="gramEnd"/>
      <w:r>
        <w:rPr>
          <w:rFonts w:ascii="Times New Roman" w:hAnsi="Times New Roman" w:cs="Times New Roman"/>
          <w:color w:val="000000"/>
        </w:rPr>
        <w:t>) The respondents have denied the applicants the right to their preferred nominee to the Board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Management.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( 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That the applicants right to nominate will continue to be denied and/or breached.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e</w:t>
      </w:r>
      <w:proofErr w:type="gramEnd"/>
      <w:r>
        <w:rPr>
          <w:rFonts w:ascii="Times New Roman" w:hAnsi="Times New Roman" w:cs="Times New Roman"/>
          <w:color w:val="000000"/>
        </w:rPr>
        <w:t xml:space="preserve">) Issue estoppel or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do not apply since High Court miscellaneous 1613 of 2002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instituted by another party and the parties in two suits are different.</w:t>
      </w:r>
    </w:p>
    <w:p w:rsidR="002E16EE" w:rsidRDefault="00A303A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2E16EE">
        <w:rPr>
          <w:rFonts w:ascii="Times New Roman" w:hAnsi="Times New Roman" w:cs="Times New Roman"/>
          <w:color w:val="000000"/>
        </w:rPr>
        <w:t xml:space="preserve">( </w:t>
      </w:r>
      <w:r w:rsidR="002E16EE">
        <w:rPr>
          <w:rFonts w:ascii="Times New Roman" w:hAnsi="Times New Roman" w:cs="Times New Roman"/>
          <w:i/>
          <w:iCs/>
          <w:color w:val="000000"/>
        </w:rPr>
        <w:t>f</w:t>
      </w:r>
      <w:proofErr w:type="gramEnd"/>
      <w:r w:rsidR="002E16EE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2E16EE">
        <w:rPr>
          <w:rFonts w:ascii="Times New Roman" w:hAnsi="Times New Roman" w:cs="Times New Roman"/>
          <w:color w:val="000000"/>
        </w:rPr>
        <w:t xml:space="preserve">) Judicial orders sought lie because George </w:t>
      </w:r>
      <w:proofErr w:type="spellStart"/>
      <w:r w:rsidR="002E16EE">
        <w:rPr>
          <w:rFonts w:ascii="Times New Roman" w:hAnsi="Times New Roman" w:cs="Times New Roman"/>
          <w:color w:val="000000"/>
        </w:rPr>
        <w:t>Muchai’s</w:t>
      </w:r>
      <w:proofErr w:type="spellEnd"/>
      <w:r w:rsidR="002E16EE">
        <w:rPr>
          <w:rFonts w:ascii="Times New Roman" w:hAnsi="Times New Roman" w:cs="Times New Roman"/>
          <w:color w:val="000000"/>
        </w:rPr>
        <w:t xml:space="preserve"> term expired on 14 May 2005 and the</w:t>
      </w:r>
      <w:r>
        <w:rPr>
          <w:rFonts w:ascii="Times New Roman" w:hAnsi="Times New Roman" w:cs="Times New Roman"/>
          <w:color w:val="000000"/>
        </w:rPr>
        <w:t xml:space="preserve"> </w:t>
      </w:r>
      <w:r w:rsidR="002E16EE">
        <w:rPr>
          <w:rFonts w:ascii="Times New Roman" w:hAnsi="Times New Roman" w:cs="Times New Roman"/>
          <w:color w:val="000000"/>
        </w:rPr>
        <w:t xml:space="preserve">application for leave filed on 17 December 2004 before the expiry of </w:t>
      </w:r>
      <w:proofErr w:type="spellStart"/>
      <w:r w:rsidR="002E16EE">
        <w:rPr>
          <w:rFonts w:ascii="Times New Roman" w:hAnsi="Times New Roman" w:cs="Times New Roman"/>
          <w:color w:val="000000"/>
        </w:rPr>
        <w:t>Muchai’s</w:t>
      </w:r>
      <w:proofErr w:type="spellEnd"/>
      <w:r w:rsidR="002E16EE">
        <w:rPr>
          <w:rFonts w:ascii="Times New Roman" w:hAnsi="Times New Roman" w:cs="Times New Roman"/>
          <w:color w:val="000000"/>
        </w:rPr>
        <w:t xml:space="preserve"> term.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g</w:t>
      </w:r>
      <w:proofErr w:type="gramEnd"/>
      <w:r>
        <w:rPr>
          <w:rFonts w:ascii="Times New Roman" w:hAnsi="Times New Roman" w:cs="Times New Roman"/>
          <w:color w:val="000000"/>
        </w:rPr>
        <w:t xml:space="preserve">) Paragraph B of the Statement of Facts indicates that a quashing order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certiorari and an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of compliance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mandamus will be sought.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h</w:t>
      </w:r>
      <w:proofErr w:type="gramEnd"/>
      <w:r>
        <w:rPr>
          <w:rFonts w:ascii="Times New Roman" w:hAnsi="Times New Roman" w:cs="Times New Roman"/>
          <w:color w:val="000000"/>
        </w:rPr>
        <w:t xml:space="preserve">) The Notice preceding the filing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Chamber Summons for leave was duly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lodged on 10 December 2004 and the application filed on 17 December 2004 and this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complies with Order 53, rule 1(3).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) </w:t>
      </w:r>
      <w:r w:rsidR="00A303AE">
        <w:rPr>
          <w:rFonts w:ascii="Times New Roman" w:hAnsi="Times New Roman" w:cs="Times New Roman"/>
          <w:color w:val="000000"/>
        </w:rPr>
        <w:t>That</w:t>
      </w:r>
      <w:r>
        <w:rPr>
          <w:rFonts w:ascii="Times New Roman" w:hAnsi="Times New Roman" w:cs="Times New Roman"/>
          <w:color w:val="000000"/>
        </w:rPr>
        <w:t xml:space="preserve"> leave having been granted the precondition for its grant cannot be reopened.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respondent’s counsel has cited several authorities which I have considered.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 Alleged defects in the statement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contended that the statement does not specify what relief and/or grounds are being sought by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as required under Order 53, rule 1. I have perused the statement and the applicant has sought a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quashing order as per relief </w:t>
      </w:r>
      <w:proofErr w:type="gramStart"/>
      <w:r>
        <w:rPr>
          <w:rFonts w:ascii="Times New Roman" w:hAnsi="Times New Roman" w:cs="Times New Roman"/>
          <w:color w:val="000000"/>
        </w:rPr>
        <w:t>B(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). It is not necessary to specify that one is seeking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–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quashing order or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would suffice – a quashing order is the other name for the Judicial order of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a compliance order or compelling order would suffice for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Concerning reinstatement the objection to it can only arise from the fact that once a quashing order is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decision making body has to appoint in accordance with the law and the court cannot make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for the challenged body and the body appears to have a discretion in appointing any one of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nominees. It can literally reject </w:t>
      </w:r>
      <w:proofErr w:type="spellStart"/>
      <w:r>
        <w:rPr>
          <w:rFonts w:ascii="Times New Roman" w:hAnsi="Times New Roman" w:cs="Times New Roman"/>
          <w:color w:val="000000"/>
        </w:rPr>
        <w:t>Geroge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Muchai</w:t>
      </w:r>
      <w:proofErr w:type="spellEnd"/>
      <w:r>
        <w:rPr>
          <w:rFonts w:ascii="Times New Roman" w:hAnsi="Times New Roman" w:cs="Times New Roman"/>
          <w:color w:val="000000"/>
        </w:rPr>
        <w:t xml:space="preserve"> each time without offending the law.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part concerning the adequacy of the grounds, the applicant has raised arguable grounds and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they are valid is a matter for contention and not suitable for summary disposal as a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point.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above reasons I disallow the objection in this category as well.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 Grounds relied on do not bring the matter within judicial review jurisdiction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has contended that the grounds relied on do not envisage illegality or/and irrationality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and/or agreement of the second respondent in the decision making process.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it is true that so far the jurisdiction of a judicial review court has been principally been based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3 “I’s” namely illegality, irrationality and impropriety of procedure categories of intervention by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are likely to be expanded in future on a case to case basis. Thus, in a recent public transport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case, </w:t>
      </w:r>
      <w:r>
        <w:rPr>
          <w:rFonts w:ascii="Times New Roman" w:hAnsi="Times New Roman" w:cs="Times New Roman"/>
          <w:i/>
          <w:iCs/>
          <w:color w:val="000000"/>
        </w:rPr>
        <w:t xml:space="preserve">R v Transport Licensing Board ex parte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>, I did extend the jurisdiction on the basis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principle of proportionality. I would therefore be reluctant to uphold this objection in summary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without delving into the facts. I would disallow this objection.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3 Failure to give notice under Order LIII, rule 1(3)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contended that the applicant failed to give the Deputy Registrar Notice not later than the preceding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Although the rule is worded in mandatory terms the Court does have a discretion under the </w:t>
      </w:r>
      <w:r>
        <w:rPr>
          <w:rFonts w:ascii="Times New Roman" w:hAnsi="Times New Roman" w:cs="Times New Roman"/>
          <w:i/>
          <w:iCs/>
          <w:color w:val="000000"/>
        </w:rPr>
        <w:t xml:space="preserve">proviso </w:t>
      </w:r>
      <w:r>
        <w:rPr>
          <w:rFonts w:ascii="Times New Roman" w:hAnsi="Times New Roman" w:cs="Times New Roman"/>
          <w:color w:val="000000"/>
        </w:rPr>
        <w:t>to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excuse the failure to file the notice for good cause shown. However no cause was shown and I would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 the objection on this ground as well.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4 Limitation on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certiorari</w:t>
      </w:r>
    </w:p>
    <w:p w:rsidR="002E16EE" w:rsidRPr="00A303A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am unable to uphold the objection for the reasons stated in </w:t>
      </w:r>
      <w:r>
        <w:rPr>
          <w:rFonts w:ascii="Times New Roman" w:hAnsi="Times New Roman" w:cs="Times New Roman"/>
          <w:i/>
          <w:iCs/>
          <w:color w:val="000000"/>
        </w:rPr>
        <w:t>R v Goldenberg Commission and another ex</w:t>
      </w:r>
      <w:r w:rsidR="00A303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Mwalulu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Order LIII, rule 2 only relates to the challenge of the formal orders set out in the rule and</w:t>
      </w:r>
      <w:r w:rsidR="00A303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of general application. The challenged decision in this case falls outside the formal orders set out</w:t>
      </w:r>
      <w:r w:rsidR="00A303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therein.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any event the decision was reflected in Gazette notice and not in any order. This does fall outside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limitation under the order and the objection is overruled.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5 Failure to give notice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contended that the applicant did fail to give notice prior to the institution of this suit.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“On this I am persuaded to approve and adopt the suggestion made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 v Horsham District Council ex parte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Wenman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[1993]. The Times 21 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>October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applicant’s lawyers should only commence Review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after giving the intended respondent an opportunity to put right their clients concerns the so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called ‘letter before action’. The failure to do so could no doubt, in a suitable case, be treated as a reason to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 grant of leave.”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leave having been granted in this matter, I cannot reopen it in order to apply this principle. I am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unable to uphold this objection as well.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6 Effect of leave being granted after the expiry of the Director’s term</w:t>
      </w:r>
    </w:p>
    <w:p w:rsidR="002E16EE" w:rsidRPr="00A303A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 denied that the term of the affected director had expired on 14 May 2005 before leave was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granted. No disclosure had been made to the Court concerning this. On this I find that the objection is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sustainable both on the ground that the order for reinstatement is being sought in vain and also for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 nondisclosure of the fact to the court see </w:t>
      </w:r>
      <w:r>
        <w:rPr>
          <w:rFonts w:ascii="Times New Roman" w:hAnsi="Times New Roman" w:cs="Times New Roman"/>
          <w:i/>
          <w:iCs/>
          <w:color w:val="000000"/>
        </w:rPr>
        <w:t xml:space="preserve">R v Kensington Commissioner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[1917] 1 KB 486; </w:t>
      </w:r>
      <w:r>
        <w:rPr>
          <w:rFonts w:ascii="Times New Roman" w:hAnsi="Times New Roman" w:cs="Times New Roman"/>
          <w:i/>
          <w:iCs/>
          <w:color w:val="000000"/>
        </w:rPr>
        <w:t xml:space="preserve">R v Land Registrar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Kajiado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Kinserk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7, 8 and 9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b/>
          <w:bCs/>
          <w:color w:val="000000"/>
        </w:rPr>
        <w:t>and issue estoppel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has been raised as one of the objections. However (3ed)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Halsburys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156 at 83 reads: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“When an application for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certiorari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prohibition or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made, argued and refused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ground of defects in the case as disclosed in the affidavits supporting the application, it is not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competent for the applicant to make a second application for the same order on amended affidavits containing</w:t>
      </w:r>
      <w:r w:rsidR="00A303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fresh materials.”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It is clear to the court that the above only applies where it is the same applicant re-applying and therefore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apply to this case.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Similarly in </w:t>
      </w:r>
      <w:r>
        <w:rPr>
          <w:rFonts w:ascii="Times New Roman" w:hAnsi="Times New Roman" w:cs="Times New Roman"/>
          <w:i/>
          <w:iCs/>
          <w:color w:val="000000"/>
        </w:rPr>
        <w:t xml:space="preserve">De Smith Woolf and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Owell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Judicial Review of Administrative Action </w:t>
      </w:r>
      <w:r>
        <w:rPr>
          <w:rFonts w:ascii="Times New Roman" w:hAnsi="Times New Roman" w:cs="Times New Roman"/>
          <w:color w:val="000000"/>
        </w:rPr>
        <w:t>at 196 paragraphs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3-075 the learned author has observed: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principle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of res judicata </w:t>
      </w:r>
      <w:r>
        <w:rPr>
          <w:rFonts w:ascii="Times New Roman" w:hAnsi="Times New Roman" w:cs="Times New Roman"/>
          <w:color w:val="000000"/>
          <w:sz w:val="20"/>
          <w:szCs w:val="20"/>
        </w:rPr>
        <w:t>does not normally apply to judicial review.”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grounds are made out upon which the court might grant the order, it will not do so where no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 could arise from granting it (at 141).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Applications for judicial review are required to be made promptly – undue delay in applying is a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 factor and the need of good administration must be borne in mind. Courts cannot hold the decision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making </w:t>
      </w:r>
      <w:proofErr w:type="gramStart"/>
      <w:r>
        <w:rPr>
          <w:rFonts w:ascii="Times New Roman" w:hAnsi="Times New Roman" w:cs="Times New Roman"/>
          <w:color w:val="000000"/>
        </w:rPr>
        <w:t>bodies</w:t>
      </w:r>
      <w:proofErr w:type="gramEnd"/>
      <w:r>
        <w:rPr>
          <w:rFonts w:ascii="Times New Roman" w:hAnsi="Times New Roman" w:cs="Times New Roman"/>
          <w:color w:val="000000"/>
        </w:rPr>
        <w:t xml:space="preserve"> hostage. </w:t>
      </w:r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Income Tax Commissioners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ex parte Princes Edmond 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an application for leave the utmost good faith is required and if the applicant in his affidavit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suppresses material facts the court will refuse an order without going into the merits.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Finally in </w:t>
      </w:r>
      <w:r>
        <w:rPr>
          <w:rFonts w:ascii="Times New Roman" w:hAnsi="Times New Roman" w:cs="Times New Roman"/>
          <w:i/>
          <w:iCs/>
          <w:color w:val="000000"/>
        </w:rPr>
        <w:t xml:space="preserve">R v Secretary of State for the Environment ex parte Hackney London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Bourough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Council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[1984] 1 WLR 592, at 602A-B and 606D it was doubted whether issue estoppel has any place in judicial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above reasons the objection would not in the view of the Court lend itself to determination in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summary procedure.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must however acknowledge that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Rajwani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Chief Magistrates Court </w:t>
      </w:r>
      <w:r>
        <w:rPr>
          <w:rFonts w:ascii="Times New Roman" w:hAnsi="Times New Roman" w:cs="Times New Roman"/>
          <w:color w:val="000000"/>
        </w:rPr>
        <w:t>1544 of 2004 there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determination that the three Judges could not undo what a single judge had held on the basis of the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The court could have arrived at the same decision on grounds of policy of the law or abuse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process. The applicant also contends that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does not apply where a different party is an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must therefore be considered that the legal position concerning application of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to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is still in a fluid state and perhaps this is not a point for determination in a summary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for this reason. It seems to me by hind right there could be good policy considerations for not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applying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and estoppel to judicial review.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 when an applicant discloses meritorious grounds for relief such relief can be denied if he sat on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rights and failed to seek relief in good time and with due diligence. This is what tilts the balance in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respondent.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Summary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one, two, four, seven, eight and nine are disallowed or refused.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Grounds three, five and six allowed.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attached considerable weight to objection 6 in that the term of the affected director having expired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was being invited to act in vain. The application seeking relief was not filed promptly and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presented within the unexpired term. The court must again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importance of promptness</w:t>
      </w:r>
      <w:r w:rsidR="00A303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judicial review matters.</w:t>
      </w:r>
      <w:bookmarkStart w:id="0" w:name="_GoBack"/>
      <w:bookmarkEnd w:id="0"/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upshot is that the application dated 17 June 2005 is dismissed with costs to the respondent.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E16EE" w:rsidRDefault="002E16EE" w:rsidP="002E1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E7594" w:rsidRDefault="002E16EE" w:rsidP="002E16EE">
      <w:r>
        <w:rPr>
          <w:rFonts w:ascii="Times New Roman" w:hAnsi="Times New Roman" w:cs="Times New Roman"/>
          <w:i/>
          <w:iCs/>
          <w:color w:val="000000"/>
        </w:rPr>
        <w:t xml:space="preserve">Information not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availab</w:t>
      </w:r>
      <w:proofErr w:type="spellEnd"/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EE"/>
    <w:rsid w:val="002E16EE"/>
    <w:rsid w:val="00A303AE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E4D1-D036-40B6-A41C-BB3C4B20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2018-07-05T08:52:00Z</dcterms:created>
  <dcterms:modified xsi:type="dcterms:W3CDTF">2018-07-10T15:05:00Z</dcterms:modified>
</cp:coreProperties>
</file>