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F7F" w:rsidRDefault="00CF7F7F" w:rsidP="00007F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Chali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CF7F7F" w:rsidRDefault="00CF7F7F" w:rsidP="00007F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Tanzania at Mwanza</w:t>
      </w:r>
    </w:p>
    <w:p w:rsidR="00CF7F7F" w:rsidRDefault="00CF7F7F" w:rsidP="00007F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8 June 2006</w:t>
      </w:r>
    </w:p>
    <w:p w:rsidR="00CF7F7F" w:rsidRDefault="00CF7F7F" w:rsidP="00007F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56/95</w:t>
      </w:r>
    </w:p>
    <w:p w:rsidR="00CF7F7F" w:rsidRDefault="00CF7F7F" w:rsidP="00007F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Makame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Kisanga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Lugakingira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CF7F7F" w:rsidRDefault="00CF7F7F" w:rsidP="00007F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CF7F7F" w:rsidRDefault="00CF7F7F" w:rsidP="00007F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R </w:t>
      </w:r>
      <w:proofErr w:type="spellStart"/>
      <w:r>
        <w:rPr>
          <w:rFonts w:ascii="Times New Roman" w:hAnsi="Times New Roman" w:cs="Times New Roman"/>
          <w:color w:val="000000"/>
        </w:rPr>
        <w:t>Rogo</w:t>
      </w:r>
      <w:proofErr w:type="spellEnd"/>
    </w:p>
    <w:p w:rsidR="00CF7F7F" w:rsidRDefault="00CF7F7F" w:rsidP="00007F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procedure – Effect of death of judge before signing judgment.</w:t>
      </w:r>
    </w:p>
    <w:p w:rsidR="00CF7F7F" w:rsidRDefault="00CF7F7F" w:rsidP="00CF7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CF7F7F" w:rsidRDefault="00CF7F7F" w:rsidP="00CF7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Makame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Kisanga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Lugakingira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JJA: </w:t>
      </w:r>
      <w:r>
        <w:rPr>
          <w:rFonts w:ascii="Times New Roman" w:hAnsi="Times New Roman" w:cs="Times New Roman"/>
          <w:color w:val="000000"/>
        </w:rPr>
        <w:t xml:space="preserve">The appellant, </w:t>
      </w:r>
      <w:proofErr w:type="spellStart"/>
      <w:r>
        <w:rPr>
          <w:rFonts w:ascii="Times New Roman" w:hAnsi="Times New Roman" w:cs="Times New Roman"/>
          <w:color w:val="000000"/>
        </w:rPr>
        <w:t>Ahamadi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Chali</w:t>
      </w:r>
      <w:proofErr w:type="spellEnd"/>
      <w:r>
        <w:rPr>
          <w:rFonts w:ascii="Times New Roman" w:hAnsi="Times New Roman" w:cs="Times New Roman"/>
          <w:color w:val="000000"/>
        </w:rPr>
        <w:t xml:space="preserve"> was condemned to death by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High Court sitting at </w:t>
      </w:r>
      <w:proofErr w:type="spellStart"/>
      <w:r>
        <w:rPr>
          <w:rFonts w:ascii="Times New Roman" w:hAnsi="Times New Roman" w:cs="Times New Roman"/>
          <w:color w:val="000000"/>
        </w:rPr>
        <w:t>Tabora</w:t>
      </w:r>
      <w:proofErr w:type="spellEnd"/>
      <w:r>
        <w:rPr>
          <w:rFonts w:ascii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</w:rPr>
        <w:t>Katiti</w:t>
      </w:r>
      <w:proofErr w:type="spellEnd"/>
      <w:r>
        <w:rPr>
          <w:rFonts w:ascii="Times New Roman" w:hAnsi="Times New Roman" w:cs="Times New Roman"/>
          <w:color w:val="000000"/>
        </w:rPr>
        <w:t xml:space="preserve"> J) and he is now appealing. At the trial the learned Judge agreed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the Lady Assessor and the two Gentlemen Assessors who sat with him, all of whom were of the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opinion that it was the appellant who killed the deceased, </w:t>
      </w:r>
      <w:proofErr w:type="spellStart"/>
      <w:r>
        <w:rPr>
          <w:rFonts w:ascii="Times New Roman" w:hAnsi="Times New Roman" w:cs="Times New Roman"/>
          <w:color w:val="000000"/>
        </w:rPr>
        <w:t>Meshak</w:t>
      </w:r>
      <w:proofErr w:type="spellEnd"/>
      <w:r>
        <w:rPr>
          <w:rFonts w:ascii="Times New Roman" w:hAnsi="Times New Roman" w:cs="Times New Roman"/>
          <w:color w:val="000000"/>
        </w:rPr>
        <w:t xml:space="preserve"> Daniel, a companion with whom he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had gone to </w:t>
      </w:r>
      <w:proofErr w:type="spellStart"/>
      <w:r>
        <w:rPr>
          <w:rFonts w:ascii="Times New Roman" w:hAnsi="Times New Roman" w:cs="Times New Roman"/>
          <w:color w:val="000000"/>
        </w:rPr>
        <w:t>Kaliua</w:t>
      </w:r>
      <w:proofErr w:type="spellEnd"/>
      <w:r>
        <w:rPr>
          <w:rFonts w:ascii="Times New Roman" w:hAnsi="Times New Roman" w:cs="Times New Roman"/>
          <w:color w:val="000000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</w:rPr>
        <w:t>Urambo</w:t>
      </w:r>
      <w:proofErr w:type="spellEnd"/>
      <w:r>
        <w:rPr>
          <w:rFonts w:ascii="Times New Roman" w:hAnsi="Times New Roman" w:cs="Times New Roman"/>
          <w:color w:val="000000"/>
        </w:rPr>
        <w:t xml:space="preserve"> District where the appellant’s mother and younger brother were living and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the appellant had gone to sell some salt. The appellant agreed that he was in the deceased’s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 as alleged but he denied having had anything to do with the deceased’s death.</w:t>
      </w:r>
    </w:p>
    <w:p w:rsidR="00CF7F7F" w:rsidRPr="00007F9A" w:rsidRDefault="00CF7F7F" w:rsidP="00CF7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the appeal before us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Muna</w:t>
      </w:r>
      <w:proofErr w:type="spellEnd"/>
      <w:r>
        <w:rPr>
          <w:rFonts w:ascii="Times New Roman" w:hAnsi="Times New Roman" w:cs="Times New Roman"/>
          <w:color w:val="000000"/>
        </w:rPr>
        <w:t xml:space="preserve">, learned Advocate, appeared for the appellant while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Mlipano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>,</w:t>
      </w:r>
      <w:r w:rsidR="00007F9A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State Attorney, represented the Republic.</w:t>
      </w:r>
    </w:p>
    <w:p w:rsidR="00CF7F7F" w:rsidRDefault="00CF7F7F" w:rsidP="00CF7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was common ground that the appellant and the deceased spent the night at the appellant’s younger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brother’s house upon their arrival at </w:t>
      </w:r>
      <w:proofErr w:type="spellStart"/>
      <w:r>
        <w:rPr>
          <w:rFonts w:ascii="Times New Roman" w:hAnsi="Times New Roman" w:cs="Times New Roman"/>
          <w:color w:val="000000"/>
        </w:rPr>
        <w:t>Kaliua</w:t>
      </w:r>
      <w:proofErr w:type="spellEnd"/>
      <w:r>
        <w:rPr>
          <w:rFonts w:ascii="Times New Roman" w:hAnsi="Times New Roman" w:cs="Times New Roman"/>
          <w:color w:val="000000"/>
        </w:rPr>
        <w:t xml:space="preserve"> village. The evidence accepted by the trial court was that the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two, the appellant and the deceased, did this alone and the appellant’s assertion that they were in the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company of Paulo </w:t>
      </w:r>
      <w:proofErr w:type="spellStart"/>
      <w:r>
        <w:rPr>
          <w:rFonts w:ascii="Times New Roman" w:hAnsi="Times New Roman" w:cs="Times New Roman"/>
          <w:color w:val="000000"/>
        </w:rPr>
        <w:t>Hedes</w:t>
      </w:r>
      <w:proofErr w:type="spellEnd"/>
      <w:r>
        <w:rPr>
          <w:rFonts w:ascii="Times New Roman" w:hAnsi="Times New Roman" w:cs="Times New Roman"/>
          <w:color w:val="000000"/>
        </w:rPr>
        <w:t xml:space="preserve"> (PW2) who had been “housewarming” the house; and another person, was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rejected. The appellant had asked PW2 and PW2’s friend, </w:t>
      </w:r>
      <w:proofErr w:type="spellStart"/>
      <w:r>
        <w:rPr>
          <w:rFonts w:ascii="Times New Roman" w:hAnsi="Times New Roman" w:cs="Times New Roman"/>
          <w:color w:val="000000"/>
        </w:rPr>
        <w:t>Philbert</w:t>
      </w:r>
      <w:proofErr w:type="spellEnd"/>
      <w:r>
        <w:rPr>
          <w:rFonts w:ascii="Times New Roman" w:hAnsi="Times New Roman" w:cs="Times New Roman"/>
          <w:color w:val="000000"/>
        </w:rPr>
        <w:t>, to go and find another shelter for the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night as he, the appellant, and the deceased would sleep with some women.</w:t>
      </w:r>
    </w:p>
    <w:p w:rsidR="00CF7F7F" w:rsidRDefault="00CF7F7F" w:rsidP="00CF7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his testimony PW2 further alleged that when he went back to the house on the morrow to collect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bed he found the door locked and it was not until the third day that he was able to locate the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appellant, and when they went to the house and the appellant opened the door, alas, the bed was soiled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 blood and there was also </w:t>
      </w:r>
      <w:proofErr w:type="spellStart"/>
      <w:r>
        <w:rPr>
          <w:rFonts w:ascii="Times New Roman" w:hAnsi="Times New Roman" w:cs="Times New Roman"/>
          <w:color w:val="000000"/>
        </w:rPr>
        <w:t>alot</w:t>
      </w:r>
      <w:proofErr w:type="spellEnd"/>
      <w:r>
        <w:rPr>
          <w:rFonts w:ascii="Times New Roman" w:hAnsi="Times New Roman" w:cs="Times New Roman"/>
          <w:color w:val="000000"/>
        </w:rPr>
        <w:t xml:space="preserve"> of blood splattered on the walls and floor. The appellant said that the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blood was that of a ten year old girl whose hymen he had broken. PW2 would not buy that story nor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his father, Elias Marko (PW8) when he saw the bed.</w:t>
      </w:r>
    </w:p>
    <w:p w:rsidR="00CF7F7F" w:rsidRDefault="00CF7F7F" w:rsidP="00CF7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decomposed body of a person retrieved from a pit latrine some thirty five paces from the house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found to be that of the deceased, whose name according to a disinterested witness, (PW7),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 w:rsidR="00007F9A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Massam</w:t>
      </w:r>
      <w:proofErr w:type="spellEnd"/>
      <w:r>
        <w:rPr>
          <w:rFonts w:ascii="Times New Roman" w:hAnsi="Times New Roman" w:cs="Times New Roman"/>
          <w:color w:val="000000"/>
        </w:rPr>
        <w:t xml:space="preserve">, the doctor who conducted a post mortem examination, was given as </w:t>
      </w:r>
      <w:proofErr w:type="spellStart"/>
      <w:r>
        <w:rPr>
          <w:rFonts w:ascii="Times New Roman" w:hAnsi="Times New Roman" w:cs="Times New Roman"/>
          <w:color w:val="000000"/>
        </w:rPr>
        <w:t>Meshak</w:t>
      </w:r>
      <w:proofErr w:type="spellEnd"/>
      <w:r>
        <w:rPr>
          <w:rFonts w:ascii="Times New Roman" w:hAnsi="Times New Roman" w:cs="Times New Roman"/>
          <w:color w:val="000000"/>
        </w:rPr>
        <w:t xml:space="preserve"> by the appellant,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same person the appellant said had gone away from the village. PW7’s testimony was that the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deceased’s head was covered over with a “draft” shirt and the neck tied with a rope. The head was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bashed and pieces of bone had pierced and damaged the brain. The cause of death was given as brain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injury.</w:t>
      </w:r>
    </w:p>
    <w:p w:rsidR="00CF7F7F" w:rsidRDefault="00CF7F7F" w:rsidP="00CF7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told the court of trial that in the house that night they were four, he and his friend who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later left for </w:t>
      </w:r>
      <w:proofErr w:type="spellStart"/>
      <w:r>
        <w:rPr>
          <w:rFonts w:ascii="Times New Roman" w:hAnsi="Times New Roman" w:cs="Times New Roman"/>
          <w:color w:val="000000"/>
        </w:rPr>
        <w:t>Urambo</w:t>
      </w:r>
      <w:proofErr w:type="spellEnd"/>
      <w:r>
        <w:rPr>
          <w:rFonts w:ascii="Times New Roman" w:hAnsi="Times New Roman" w:cs="Times New Roman"/>
          <w:color w:val="000000"/>
        </w:rPr>
        <w:t xml:space="preserve">, Paul </w:t>
      </w:r>
      <w:proofErr w:type="spellStart"/>
      <w:r>
        <w:rPr>
          <w:rFonts w:ascii="Times New Roman" w:hAnsi="Times New Roman" w:cs="Times New Roman"/>
          <w:color w:val="000000"/>
        </w:rPr>
        <w:t>Hedes</w:t>
      </w:r>
      <w:proofErr w:type="spellEnd"/>
      <w:r>
        <w:rPr>
          <w:rFonts w:ascii="Times New Roman" w:hAnsi="Times New Roman" w:cs="Times New Roman"/>
          <w:color w:val="000000"/>
        </w:rPr>
        <w:t xml:space="preserve"> and Paul’s friend. The assertion is therefore that he was not alone with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deceased that night. He also said he did not identify the body and that he told the hymen fib at the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police station so as to save himself from further assault.</w:t>
      </w:r>
    </w:p>
    <w:p w:rsidR="00CF7F7F" w:rsidRDefault="00CF7F7F" w:rsidP="00CF7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Muna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two grounds in support of the appeal by his client. He submitted that the evidence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the appellant was merely circumstantial and that it was of a quality that would not reasonably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lead to the conviction of the appellant and that the learned Judge erred in accepting as credible the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of PW2, PW3 and PW8 who had interests of their own to serve. The three witnesses were son,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mother and father.</w:t>
      </w:r>
    </w:p>
    <w:p w:rsidR="00CF7F7F" w:rsidRDefault="00CF7F7F" w:rsidP="00CF7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On behalf of the republic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Mlipano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declined to support the High Court decision. He said he </w:t>
      </w:r>
      <w:r w:rsidR="00007F9A">
        <w:rPr>
          <w:rFonts w:ascii="Times New Roman" w:hAnsi="Times New Roman" w:cs="Times New Roman"/>
          <w:color w:val="000000"/>
        </w:rPr>
        <w:t>had “</w:t>
      </w:r>
      <w:r>
        <w:rPr>
          <w:rFonts w:ascii="Times New Roman" w:hAnsi="Times New Roman" w:cs="Times New Roman"/>
          <w:color w:val="000000"/>
        </w:rPr>
        <w:t>great difficulty to decide this”, to decide whether or not to support the conviction. Learned Counsel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 learned trial Judge misdirected himself during the course of his summing up in that he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his own views known on certain matters and to that extent, the trial was not a trial with the aid of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assessors, in terms of section 265 of the Criminal Procedure Act.</w:t>
      </w:r>
    </w:p>
    <w:p w:rsidR="00CF7F7F" w:rsidRDefault="00CF7F7F" w:rsidP="00CF7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We are grateful to both learned Counsel for their useful assistance to the court.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Muna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quite right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evidence relied on was purely circumstantial. We are, however, of the considered view that the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trial Judge meticulously considered such evidence and that, based on the accepted supporting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facts; he was fully entitled to hold the same view as that of his assessors that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appellant’s guilt had been established. He also correctly warned himself, in his own </w:t>
      </w:r>
      <w:proofErr w:type="spellStart"/>
      <w:r>
        <w:rPr>
          <w:rFonts w:ascii="Times New Roman" w:hAnsi="Times New Roman" w:cs="Times New Roman"/>
          <w:color w:val="000000"/>
        </w:rPr>
        <w:t>colourful</w:t>
      </w:r>
      <w:proofErr w:type="spellEnd"/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language, that although he was satisfied that the appellant had told lies, and that lies can be told for a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variety of reasons, in this particular case it was because the appellant was trying to hide his guilt. The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Judge ably demonstrated his awareness of the case law on circumstantial evidence and cited a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variety of authorities including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Kiperumi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Arap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Koske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>(1949) EACA 135. He took into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account, quite properly in our view, the fact that the appellant was last seen alone with the deceased; the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hymen story, which was an unblushing lie; and which he could not have told so as to save himself from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 assault, as the appellant said, because he had first furnished the story to the youth, PW2, on the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latter discovering the blood in the house, much earlier on, when there could have been no fear of people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assaulting him, or assaulting him further. There was also his falsely saying that the deceased had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travelled from the village and his later conceding that the body fished out from the latrine was that of his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guest. There was further a futile attempt by the appellant to implicate PW8, PW2’s father, as being his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companion in crime.</w:t>
      </w:r>
    </w:p>
    <w:p w:rsidR="00CF7F7F" w:rsidRDefault="00CF7F7F" w:rsidP="00CF7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 respect to the learned Advocate for the appellant, we are not persuaded to agree that counsel had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“almost covered ground two”. The truth of the matter is that he did not really argue that ground, but we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satisfied in any event that it is devoid of merit. Counsel merely remarked in passing that PW8 was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also arrested, but we know the circumstances in which this happened and we do not think that this in any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way detracts from the soundness of the appellant’s conviction. Lastly, with respect, we are of the view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Muna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must have misread a portion of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Massam’s</w:t>
      </w:r>
      <w:proofErr w:type="spellEnd"/>
      <w:r>
        <w:rPr>
          <w:rFonts w:ascii="Times New Roman" w:hAnsi="Times New Roman" w:cs="Times New Roman"/>
          <w:color w:val="000000"/>
        </w:rPr>
        <w:t xml:space="preserve"> evidence to be able to assert so boldly that at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page 17 line 12, “Doctor says there was no violence in the room”. At the said line 12 the doctor testified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“I estimated that six days had gone by because of change of the organs and the place the body was”.</w:t>
      </w:r>
    </w:p>
    <w:p w:rsidR="00CF7F7F" w:rsidRDefault="00CF7F7F" w:rsidP="00CF7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are completely at a loss to understand how this could support learned Counsel’s contention. For the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sake of argument, even if counsel’s reference to line 12 was merely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lapsus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linguae </w:t>
      </w:r>
      <w:r>
        <w:rPr>
          <w:rFonts w:ascii="Times New Roman" w:hAnsi="Times New Roman" w:cs="Times New Roman"/>
          <w:color w:val="000000"/>
        </w:rPr>
        <w:t>and that he actually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wanted to refer to line 20 that one goes thus: “At the scene there was no evidence of violence as to cause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impact demonstrated by the Deceased”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>). This is neither here nor there really. In line 4 the doctor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is loud and clear that “I never entered the </w:t>
      </w:r>
      <w:proofErr w:type="spellStart"/>
      <w:r>
        <w:rPr>
          <w:rFonts w:ascii="Times New Roman" w:hAnsi="Times New Roman" w:cs="Times New Roman"/>
          <w:color w:val="000000"/>
        </w:rPr>
        <w:t>accussed’s</w:t>
      </w:r>
      <w:proofErr w:type="spellEnd"/>
      <w:r>
        <w:rPr>
          <w:rFonts w:ascii="Times New Roman" w:hAnsi="Times New Roman" w:cs="Times New Roman"/>
          <w:color w:val="000000"/>
        </w:rPr>
        <w:t xml:space="preserve"> house at all”, so that it is beyond peradventure that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doctor was not in a position to say that “there was no violence in the room”, for what it would be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worth.</w:t>
      </w:r>
    </w:p>
    <w:p w:rsidR="00CF7F7F" w:rsidRDefault="00CF7F7F" w:rsidP="00CF7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We must confess to our being rather surprised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Mlipano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failure to support the conviction. As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aforesaid, he submitted that the trial was held without the aid of assessors. In telling the assessors that</w:t>
      </w:r>
    </w:p>
    <w:p w:rsidR="00CF7F7F" w:rsidRDefault="00CF7F7F" w:rsidP="00CF7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“All the same, you will have no problem in concluding that the deceased was wearing a draft shirt and a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black trouser” the learned trial Judge was indeed rather indiscreetly sticking out his neck. However, we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 fathom nothing in the assessors’ opinions that would reasonably lead us to conclude, or fear, that this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misdirection was crucial to their finding and it does not appear to have influenced them. We wish to add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the </w:t>
      </w:r>
      <w:proofErr w:type="spellStart"/>
      <w:r>
        <w:rPr>
          <w:rFonts w:ascii="Times New Roman" w:hAnsi="Times New Roman" w:cs="Times New Roman"/>
          <w:color w:val="000000"/>
        </w:rPr>
        <w:t>colour</w:t>
      </w:r>
      <w:proofErr w:type="spellEnd"/>
      <w:r>
        <w:rPr>
          <w:rFonts w:ascii="Times New Roman" w:hAnsi="Times New Roman" w:cs="Times New Roman"/>
          <w:color w:val="000000"/>
        </w:rPr>
        <w:t xml:space="preserve"> of the garment the deceased’s body was in might go some way to establishing the identity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wearer, about which there is in the instant case ample other evidence to establish the deceased’s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identity. In answer to the court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Mlipano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conceded two matters: </w:t>
      </w:r>
      <w:proofErr w:type="gramStart"/>
      <w:r>
        <w:rPr>
          <w:rFonts w:ascii="Times New Roman" w:hAnsi="Times New Roman" w:cs="Times New Roman"/>
          <w:color w:val="000000"/>
        </w:rPr>
        <w:t>One, that</w:t>
      </w:r>
      <w:proofErr w:type="gramEnd"/>
      <w:r>
        <w:rPr>
          <w:rFonts w:ascii="Times New Roman" w:hAnsi="Times New Roman" w:cs="Times New Roman"/>
          <w:color w:val="000000"/>
        </w:rPr>
        <w:t xml:space="preserve"> the above was the only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misdirection in the summing up; and two, that PW2 (the prosecution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star witness) is reliable. We are satisfied that the appellant’s conviction was sound and so his appeal is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hereby dismissed.</w:t>
      </w:r>
    </w:p>
    <w:p w:rsidR="00CF7F7F" w:rsidRDefault="00CF7F7F" w:rsidP="00CF7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wish to add two matters, the first one quite briefly; and the second one is, we think, of great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moment.</w:t>
      </w:r>
    </w:p>
    <w:p w:rsidR="00CF7F7F" w:rsidRDefault="00CF7F7F" w:rsidP="00CF7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first one is, having expressed our surprise at the learned State Attorney’s failure to support the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conviction, we wish to say that we were making the remark only with particular reference to this appeal,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way we were viewing it. For the avoidance of doubt, we should not be taken to intend to say that state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should always resist appeals against the republic, no matter the merit or lack of it. If after serious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consideration and in keeping with professional ethics which are a trademark in our calling, state attorney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of the view that he is not in a position to support a conviction for that matter any decision, “in favour”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republic, he should feel free, and indeed feel obliged, to inform the court, bearing in mind that he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an officer of the court.</w:t>
      </w:r>
    </w:p>
    <w:p w:rsidR="00CF7F7F" w:rsidRDefault="00CF7F7F" w:rsidP="00CF7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We wish to predicate the second matter with a little exposition, for the benefit of some people,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including those who should know better, who may not be familiar with the process of the Court of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in reaching a decision in a matter heard by three or more justices of appeal.</w:t>
      </w:r>
      <w:r w:rsidR="00007F9A">
        <w:rPr>
          <w:rFonts w:ascii="Times New Roman" w:hAnsi="Times New Roman" w:cs="Times New Roman"/>
          <w:color w:val="000000"/>
        </w:rPr>
        <w:t xml:space="preserve"> </w:t>
      </w:r>
    </w:p>
    <w:p w:rsidR="00CF7F7F" w:rsidRDefault="00CF7F7F" w:rsidP="00CF7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After hearing a matter there is normally a “Conference” in chambers where the justices exchange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views freely, respectfully, but seriously. Learned argument, and hammering out for consensus, take place.</w:t>
      </w:r>
    </w:p>
    <w:p w:rsidR="00CF7F7F" w:rsidRDefault="00CF7F7F" w:rsidP="00CF7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No bull-dozing, no arm-twisting. If there is dissent it is respected, not resented. If there is </w:t>
      </w:r>
      <w:proofErr w:type="spellStart"/>
      <w:r>
        <w:rPr>
          <w:rFonts w:ascii="Times New Roman" w:hAnsi="Times New Roman" w:cs="Times New Roman"/>
          <w:color w:val="000000"/>
        </w:rPr>
        <w:t>allround</w:t>
      </w:r>
      <w:proofErr w:type="spellEnd"/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consensus it is obtained that way. If there is no consensus there will prevail the majority view and the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written decision will so indicate. At such a conference the chairman of the panel is merely “</w:t>
      </w:r>
      <w:r>
        <w:rPr>
          <w:rFonts w:ascii="Times New Roman" w:hAnsi="Times New Roman" w:cs="Times New Roman"/>
          <w:i/>
          <w:iCs/>
          <w:color w:val="000000"/>
        </w:rPr>
        <w:t>primus inter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pares</w:t>
      </w:r>
      <w:r>
        <w:rPr>
          <w:rFonts w:ascii="Times New Roman" w:hAnsi="Times New Roman" w:cs="Times New Roman"/>
          <w:color w:val="000000"/>
        </w:rPr>
        <w:t>” and the only additional power he has is to assign a justice, himself included, who will compose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decision for the consideration of others. That decision, after approval by the others in that “camp”, is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decision of all those in that camp, owned by them and they are all responsible for it. Regarding such a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 it is therefore the height of blissful ignorance to label the composing justice as “liberal” or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“progressive” or “conservative” etc. For all there is, such a justice might have started the Conference</w:t>
      </w:r>
      <w:r w:rsidR="00007F9A">
        <w:rPr>
          <w:rFonts w:ascii="Times New Roman" w:hAnsi="Times New Roman" w:cs="Times New Roman"/>
          <w:color w:val="000000"/>
        </w:rPr>
        <w:t xml:space="preserve"> h</w:t>
      </w:r>
      <w:r>
        <w:rPr>
          <w:rFonts w:ascii="Times New Roman" w:hAnsi="Times New Roman" w:cs="Times New Roman"/>
          <w:color w:val="000000"/>
        </w:rPr>
        <w:t>olding a diametrically opposite view and only been converted during the course of the Conference.</w:t>
      </w:r>
    </w:p>
    <w:p w:rsidR="00CF7F7F" w:rsidRDefault="00CF7F7F" w:rsidP="00CF7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thought it necessary to say the foregoing because of what we are now going to say. This appeal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heard by the usual panel of three justices, including the late </w:t>
      </w:r>
      <w:proofErr w:type="spellStart"/>
      <w:r>
        <w:rPr>
          <w:rFonts w:ascii="Times New Roman" w:hAnsi="Times New Roman" w:cs="Times New Roman"/>
          <w:color w:val="000000"/>
        </w:rPr>
        <w:t>Lugakingira</w:t>
      </w:r>
      <w:proofErr w:type="spellEnd"/>
      <w:r>
        <w:rPr>
          <w:rFonts w:ascii="Times New Roman" w:hAnsi="Times New Roman" w:cs="Times New Roman"/>
          <w:color w:val="000000"/>
        </w:rPr>
        <w:t xml:space="preserve"> JA, RIP, the third </w:t>
      </w:r>
      <w:r w:rsidR="00007F9A">
        <w:rPr>
          <w:rFonts w:ascii="Times New Roman" w:hAnsi="Times New Roman" w:cs="Times New Roman"/>
          <w:color w:val="000000"/>
        </w:rPr>
        <w:t xml:space="preserve">among </w:t>
      </w:r>
      <w:r>
        <w:rPr>
          <w:rFonts w:ascii="Times New Roman" w:hAnsi="Times New Roman" w:cs="Times New Roman"/>
          <w:color w:val="000000"/>
        </w:rPr>
        <w:t>equals in the panel. Following the inevitable conference there emerged complete consensus that the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had no merit and should be dismissed. This was after complete ventilation and the identification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reasons. After that, very unhappily, our learned Brother, </w:t>
      </w:r>
      <w:proofErr w:type="spellStart"/>
      <w:r>
        <w:rPr>
          <w:rFonts w:ascii="Times New Roman" w:hAnsi="Times New Roman" w:cs="Times New Roman"/>
          <w:color w:val="000000"/>
        </w:rPr>
        <w:t>Lugakingira</w:t>
      </w:r>
      <w:proofErr w:type="spellEnd"/>
      <w:r>
        <w:rPr>
          <w:rFonts w:ascii="Times New Roman" w:hAnsi="Times New Roman" w:cs="Times New Roman"/>
          <w:color w:val="000000"/>
        </w:rPr>
        <w:t xml:space="preserve"> JA died before the composition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signing of the judgment. This was new terrain for us, unchartered and unfamiliar. We however argue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thus: because all three of us had agreed on the destination of the appeal and to the reasoning steps to get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there, the two of us felt that we could deliver the unanimous judgment of the court, which naturally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cannot now be signed by our late learned Brother. We feel that we are on firm ground. Further, we feel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well-buttressed by this additional consideration; even if </w:t>
      </w:r>
      <w:proofErr w:type="spellStart"/>
      <w:r>
        <w:rPr>
          <w:rFonts w:ascii="Times New Roman" w:hAnsi="Times New Roman" w:cs="Times New Roman"/>
          <w:color w:val="000000"/>
        </w:rPr>
        <w:t>Lugakingira</w:t>
      </w:r>
      <w:proofErr w:type="spellEnd"/>
      <w:r>
        <w:rPr>
          <w:rFonts w:ascii="Times New Roman" w:hAnsi="Times New Roman" w:cs="Times New Roman"/>
          <w:color w:val="000000"/>
        </w:rPr>
        <w:t xml:space="preserve"> JA had dissented and was still alive,</w:t>
      </w:r>
    </w:p>
    <w:p w:rsidR="00CF7F7F" w:rsidRDefault="00CF7F7F" w:rsidP="00CF7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or</w:t>
      </w:r>
      <w:proofErr w:type="gramEnd"/>
      <w:r>
        <w:rPr>
          <w:rFonts w:ascii="Times New Roman" w:hAnsi="Times New Roman" w:cs="Times New Roman"/>
          <w:color w:val="000000"/>
        </w:rPr>
        <w:t>, as is now the case, he is dead, the two of us would still be the majority and so we would therefore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carry the day. As it is, as we have said, the three of us had unanimously agreed to dismiss the appeal.</w:t>
      </w:r>
    </w:p>
    <w:p w:rsidR="00CF7F7F" w:rsidRDefault="00CF7F7F" w:rsidP="00CF7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We searched for a precedent in Tanzania but our effort went unrewarded. The present situation is </w:t>
      </w:r>
      <w:proofErr w:type="spellStart"/>
      <w:r>
        <w:rPr>
          <w:rFonts w:ascii="Times New Roman" w:hAnsi="Times New Roman" w:cs="Times New Roman"/>
          <w:color w:val="000000"/>
        </w:rPr>
        <w:t>ofcourse</w:t>
      </w:r>
      <w:proofErr w:type="spellEnd"/>
      <w:r>
        <w:rPr>
          <w:rFonts w:ascii="Times New Roman" w:hAnsi="Times New Roman" w:cs="Times New Roman"/>
          <w:color w:val="000000"/>
        </w:rPr>
        <w:t xml:space="preserve"> different from a part heard matter, or a matter heard but eventually not discussed, which would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call for a different treatment.</w:t>
      </w:r>
    </w:p>
    <w:p w:rsidR="00CF7F7F" w:rsidRDefault="00CF7F7F" w:rsidP="00CF7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did not confine our search to Tanzania. We spread out wider. One of us discussed the matter with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eminent judges in some commonwealth jurisdictions but was invariably informed that there was no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recollected precedent. All those consulted held a view like the one we have canvassed. We have also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visited a number of websites in the United Kingdom, including the House of Lords and for interest, also</w:t>
      </w:r>
    </w:p>
    <w:p w:rsidR="00CF7F7F" w:rsidRDefault="00CF7F7F" w:rsidP="00CF7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the United States of America, including the Supreme Court of the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United </w:t>
      </w:r>
      <w:r>
        <w:rPr>
          <w:rFonts w:ascii="Times New Roman" w:hAnsi="Times New Roman" w:cs="Times New Roman"/>
          <w:color w:val="000000"/>
        </w:rPr>
        <w:t>States of America, and some</w:t>
      </w:r>
    </w:p>
    <w:p w:rsidR="00CF7F7F" w:rsidRDefault="00CF7F7F" w:rsidP="00CF7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State Supreme Courts, but our concerted effort was barren of fruit. We wish to recommend further</w:t>
      </w:r>
      <w:r w:rsidR="00007F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research by our Court of Appeal and High Court Registries.</w:t>
      </w:r>
    </w:p>
    <w:p w:rsidR="00CF7F7F" w:rsidRDefault="00CF7F7F" w:rsidP="00CF7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</w:rPr>
        <w:t>For the appellant:</w:t>
      </w:r>
    </w:p>
    <w:p w:rsidR="00CF7F7F" w:rsidRDefault="00CF7F7F" w:rsidP="00CF7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Muna</w:t>
      </w:r>
      <w:proofErr w:type="spellEnd"/>
    </w:p>
    <w:p w:rsidR="00CF7F7F" w:rsidRDefault="00CF7F7F" w:rsidP="00CF7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AB7022" w:rsidRDefault="00CF7F7F" w:rsidP="00CF7F7F"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Mlipano</w:t>
      </w:r>
      <w:proofErr w:type="spellEnd"/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F7F"/>
    <w:rsid w:val="00007F9A"/>
    <w:rsid w:val="00AB7022"/>
    <w:rsid w:val="00CF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EEA86-04B5-488E-95D7-2B00C8D15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1924</Words>
  <Characters>10969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2018-07-05T05:57:00Z</dcterms:created>
  <dcterms:modified xsi:type="dcterms:W3CDTF">2018-07-10T15:13:00Z</dcterms:modified>
</cp:coreProperties>
</file>