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Chege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March 2006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143/05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Identification – Identification by recognition – Quality of light available to identifying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witness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Corroboration – Whether appellant was adequately identified – Whether corroboration of</w:t>
      </w:r>
    </w:p>
    <w:p w:rsidR="004402E2" w:rsidRDefault="004402E2" w:rsidP="004A3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eye-witness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testimony required.</w:t>
      </w:r>
    </w:p>
    <w:p w:rsidR="004402E2" w:rsidRDefault="008C03A2" w:rsidP="008C03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</w:rPr>
        <w:t>JUDGMENT</w:t>
      </w:r>
    </w:p>
    <w:bookmarkEnd w:id="0"/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 xml:space="preserve">The appellant in this appeal is Patrick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Chege</w:t>
      </w:r>
      <w:proofErr w:type="spellEnd"/>
      <w:r>
        <w:rPr>
          <w:rFonts w:ascii="Times New Roman" w:hAnsi="Times New Roman" w:cs="Times New Roman"/>
          <w:color w:val="000000"/>
        </w:rPr>
        <w:t>. He appeals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his conviction and sentence for robbery with violence contrary to section 296(2) of the Penal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Code. There were two counts as follows: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 one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11 November 2000 at </w:t>
      </w:r>
      <w:proofErr w:type="spellStart"/>
      <w:r>
        <w:rPr>
          <w:rFonts w:ascii="Times New Roman" w:hAnsi="Times New Roman" w:cs="Times New Roman"/>
          <w:color w:val="000000"/>
        </w:rPr>
        <w:t>Millenium</w:t>
      </w:r>
      <w:proofErr w:type="spellEnd"/>
      <w:r>
        <w:rPr>
          <w:rFonts w:ascii="Times New Roman" w:hAnsi="Times New Roman" w:cs="Times New Roman"/>
          <w:color w:val="000000"/>
        </w:rPr>
        <w:t xml:space="preserve"> Bar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Township in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of the Rift Valley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Province jointly with others not before the Court while armed with </w:t>
      </w:r>
      <w:proofErr w:type="spellStart"/>
      <w:r>
        <w:rPr>
          <w:rFonts w:ascii="Times New Roman" w:hAnsi="Times New Roman" w:cs="Times New Roman"/>
          <w:color w:val="000000"/>
        </w:rPr>
        <w:t>home made</w:t>
      </w:r>
      <w:proofErr w:type="spellEnd"/>
      <w:r>
        <w:rPr>
          <w:rFonts w:ascii="Times New Roman" w:hAnsi="Times New Roman" w:cs="Times New Roman"/>
          <w:color w:val="000000"/>
        </w:rPr>
        <w:t xml:space="preserve"> guns, iron bars, </w:t>
      </w:r>
      <w:proofErr w:type="spellStart"/>
      <w:r>
        <w:rPr>
          <w:rFonts w:ascii="Times New Roman" w:hAnsi="Times New Roman" w:cs="Times New Roman"/>
          <w:color w:val="000000"/>
        </w:rPr>
        <w:t>pangas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rungus</w:t>
      </w:r>
      <w:proofErr w:type="spellEnd"/>
      <w:r>
        <w:rPr>
          <w:rFonts w:ascii="Times New Roman" w:hAnsi="Times New Roman" w:cs="Times New Roman"/>
          <w:color w:val="000000"/>
        </w:rPr>
        <w:t xml:space="preserve"> robbed Anne </w:t>
      </w:r>
      <w:proofErr w:type="spellStart"/>
      <w:r>
        <w:rPr>
          <w:rFonts w:ascii="Times New Roman" w:hAnsi="Times New Roman" w:cs="Times New Roman"/>
          <w:color w:val="000000"/>
        </w:rPr>
        <w:t>Muthoni</w:t>
      </w:r>
      <w:proofErr w:type="spellEnd"/>
      <w:r>
        <w:rPr>
          <w:rFonts w:ascii="Times New Roman" w:hAnsi="Times New Roman" w:cs="Times New Roman"/>
          <w:color w:val="000000"/>
        </w:rPr>
        <w:t xml:space="preserve"> of cash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one Radio cassette make </w:t>
      </w:r>
      <w:proofErr w:type="spellStart"/>
      <w:r>
        <w:rPr>
          <w:rFonts w:ascii="Times New Roman" w:hAnsi="Times New Roman" w:cs="Times New Roman"/>
          <w:color w:val="000000"/>
        </w:rPr>
        <w:t>Soni</w:t>
      </w:r>
      <w:proofErr w:type="spellEnd"/>
      <w:r>
        <w:rPr>
          <w:rFonts w:ascii="Times New Roman" w:hAnsi="Times New Roman" w:cs="Times New Roman"/>
          <w:color w:val="000000"/>
        </w:rPr>
        <w:t>, one packet of mini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packs wine, 2 quarter of bond beer wine all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23 000 and at or immediately after the time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such robbery used personal violence to the said Anne </w:t>
      </w:r>
      <w:proofErr w:type="spellStart"/>
      <w:r>
        <w:rPr>
          <w:rFonts w:ascii="Times New Roman" w:hAnsi="Times New Roman" w:cs="Times New Roman"/>
          <w:color w:val="000000"/>
        </w:rPr>
        <w:t>Muthoni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 two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11 November 2000 at </w:t>
      </w:r>
      <w:proofErr w:type="spellStart"/>
      <w:r>
        <w:rPr>
          <w:rFonts w:ascii="Times New Roman" w:hAnsi="Times New Roman" w:cs="Times New Roman"/>
          <w:color w:val="000000"/>
        </w:rPr>
        <w:t>Millenium</w:t>
      </w:r>
      <w:proofErr w:type="spellEnd"/>
      <w:r>
        <w:rPr>
          <w:rFonts w:ascii="Times New Roman" w:hAnsi="Times New Roman" w:cs="Times New Roman"/>
          <w:color w:val="000000"/>
        </w:rPr>
        <w:t xml:space="preserve"> Bar </w:t>
      </w:r>
      <w:proofErr w:type="spellStart"/>
      <w:r>
        <w:rPr>
          <w:rFonts w:ascii="Times New Roman" w:hAnsi="Times New Roman" w:cs="Times New Roman"/>
          <w:color w:val="000000"/>
        </w:rPr>
        <w:t>Molo</w:t>
      </w:r>
      <w:proofErr w:type="spellEnd"/>
      <w:r>
        <w:rPr>
          <w:rFonts w:ascii="Times New Roman" w:hAnsi="Times New Roman" w:cs="Times New Roman"/>
          <w:color w:val="000000"/>
        </w:rPr>
        <w:t xml:space="preserve"> Township in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of the Rift Valley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Province jointly with others not before the Court while armed with </w:t>
      </w:r>
      <w:proofErr w:type="spellStart"/>
      <w:r>
        <w:rPr>
          <w:rFonts w:ascii="Times New Roman" w:hAnsi="Times New Roman" w:cs="Times New Roman"/>
          <w:color w:val="000000"/>
        </w:rPr>
        <w:t>home made</w:t>
      </w:r>
      <w:proofErr w:type="spellEnd"/>
      <w:r>
        <w:rPr>
          <w:rFonts w:ascii="Times New Roman" w:hAnsi="Times New Roman" w:cs="Times New Roman"/>
          <w:color w:val="000000"/>
        </w:rPr>
        <w:t xml:space="preserve"> guns, iron bars, </w:t>
      </w:r>
      <w:proofErr w:type="spellStart"/>
      <w:r>
        <w:rPr>
          <w:rFonts w:ascii="Times New Roman" w:hAnsi="Times New Roman" w:cs="Times New Roman"/>
          <w:color w:val="000000"/>
        </w:rPr>
        <w:t>pangas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rungus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robbed John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of one Seiko wrist watch valued 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and at or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immediately after the time of such robbery used personal violence to the said John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key evidence in the case was that of John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(PW2) who gave evidence on three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occasions.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first occasion his evidence-in-chief was this: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reside here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 work at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DO’s office. On 11 November 2000 around 1am. I was at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Millenium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Bar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Town with many others partaking of drinks. I noticed people force their way in and I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noticed the intruders began to knock patrons down and robbed of a Seiko 5. Two of the attackers were armed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two pistols. The Bar was well lit. When the attackers left I decided to inform the police.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After three days my watch which I had been robbed was brought to me at my office. It is mine and it was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worth 12 000. One of the suspects who robbed us in that bar that night is here. (Pointing at the accused). The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watch I was robbed of is here (MFI 1) and I don’t know how it was recovered.”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was no cross-examination on this evidence but at the request of the appellant the trial was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commenced afresh on the 10 July 2002 when John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evidence-in-chief again.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time he said as follows: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reside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I am a Civil Servant. I recall at 11 November 2000 at 1am, I was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Millenium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other people drinking. When some people wearing Police Uniform entered and ordered people to lie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down. I was seated at the counter and was not touched first as I am a cripple. Then people robbed people of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valuables before one of them called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Nyakundi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came and pulled me down when he checked he found I had no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money. He snatched my Seiko wrist watch valued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10 000. One of the persons had a home-made gun.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watched them from where I was as I was not touched first. One of them is the accused I knew before. I had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known him for a long time before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Town. I also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others but are not in court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now. There was enough light in the bar I saw them clearly. My watch was later recovered by the Police and I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identified it. I do not know from whom it was recovered as I was not told.”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Cross-examined by the accused: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was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Millenium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Bar drinking some sodas. I entered at 11pm with some visitors. You came at about 1am.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were about 20 people in the bar. I reported the robbery immediately after the robbery. I recorded my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statement later. I know you very well. I used to see you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Town. I informed the Police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others. I told them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some. I explained to them the circumstances of the robbery I told the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Police I identified some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and gave the tips as to how to get you. You were very violent. I have no reason to lie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against you. There was no need to inform the Police.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of the attackers. My wrist watch was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snatched by the man who violently pulled me down from where I was sitting. The watch recovered is with the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investigator. I identified it. I was not shown the person who had it. It was recovered after some days. I was not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called to go and see those arrested. I have told you I know you very well. I have seen you in several bars and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town in general. We were attacked by five of you but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and two others. I was drinking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soda as I was not feeling well. You threatened people and ordered them to lie down but I was seated at the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counter and though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(? thought) at first you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were police officers but saw you as one of them. I saw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knew you were not police officers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after all.”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Re-examination: Nil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The third time that John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 was on 6 November 2002 when he was recalled at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accused’s request for further cross–examination by the appellant on this occasion he said: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“There was one time when I used to stay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Vumilia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plot nothing has ever happened between you and me. In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our office we had a housing department. I do not deal with issuance of shop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licences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had never talked with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you.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number of the robbers including you. I know you and I was not ordered to lie down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I am disabled.”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evidence relating to the arrest of the appellant was given by PC David </w:t>
      </w:r>
      <w:proofErr w:type="spellStart"/>
      <w:r>
        <w:rPr>
          <w:rFonts w:ascii="Times New Roman" w:hAnsi="Times New Roman" w:cs="Times New Roman"/>
          <w:color w:val="000000"/>
        </w:rPr>
        <w:t>Mwene</w:t>
      </w:r>
      <w:proofErr w:type="spellEnd"/>
      <w:r>
        <w:rPr>
          <w:rFonts w:ascii="Times New Roman" w:hAnsi="Times New Roman" w:cs="Times New Roman"/>
          <w:color w:val="000000"/>
        </w:rPr>
        <w:t xml:space="preserve"> (PW5). He said the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following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recall that on 17 March 2001 at 7:30am. I was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Police Station when we received information that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one of the robbers we were looking for was seen in a certain house at Kenyatta Estate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 proceeded there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OCS and other officers with dogs. We were shown the house and we knocked. As we waited for it to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open the suspect we were looking for who is the accused jumped out through the window and ran away.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let loose the dogs which chased and caught him. After interrogation we took him for robberies. He was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involved in various robberies including the one which took place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Millenium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bar and had been mentioned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one of those who saw him there. I knew the accused from other robbers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(? robberies) and even were</w:t>
      </w:r>
      <w:r w:rsidR="004A3B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looking for him.”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PW5 added in cross-examination by the appellant: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“You were involved in this case. I received information about your whereabouts from our informers …”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 </w:t>
      </w:r>
      <w:proofErr w:type="spellStart"/>
      <w:r>
        <w:rPr>
          <w:rFonts w:ascii="Times New Roman" w:hAnsi="Times New Roman" w:cs="Times New Roman"/>
          <w:color w:val="000000"/>
        </w:rPr>
        <w:t>Kirui</w:t>
      </w:r>
      <w:proofErr w:type="spellEnd"/>
      <w:r>
        <w:rPr>
          <w:rFonts w:ascii="Times New Roman" w:hAnsi="Times New Roman" w:cs="Times New Roman"/>
          <w:color w:val="000000"/>
        </w:rPr>
        <w:t xml:space="preserve">, SRM correctly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in his judgment delivered on 15 January 2003. 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PW2 appeared firm and truthful even in cross-examination and went on to state that PW2’s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was corroborated by the appellant’s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in jumping out of the window and running away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police came to the house in which the appellant was three months after the robbery.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Magistrate was convinced beyond reasonable doubt that the appellant committed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as charged on both counts and accordingly convicted the appellant.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first appellate court consisting of D </w:t>
      </w:r>
      <w:proofErr w:type="spellStart"/>
      <w:r>
        <w:rPr>
          <w:rFonts w:ascii="Times New Roman" w:hAnsi="Times New Roman" w:cs="Times New Roman"/>
          <w:color w:val="000000"/>
        </w:rPr>
        <w:t>Musinga</w:t>
      </w:r>
      <w:proofErr w:type="spellEnd"/>
      <w:r>
        <w:rPr>
          <w:rFonts w:ascii="Times New Roman" w:hAnsi="Times New Roman" w:cs="Times New Roman"/>
          <w:color w:val="000000"/>
        </w:rPr>
        <w:t xml:space="preserve"> and L </w:t>
      </w:r>
      <w:proofErr w:type="spellStart"/>
      <w:r>
        <w:rPr>
          <w:rFonts w:ascii="Times New Roman" w:hAnsi="Times New Roman" w:cs="Times New Roman"/>
          <w:color w:val="000000"/>
        </w:rPr>
        <w:t>Kimaru</w:t>
      </w:r>
      <w:proofErr w:type="spellEnd"/>
      <w:r>
        <w:rPr>
          <w:rFonts w:ascii="Times New Roman" w:hAnsi="Times New Roman" w:cs="Times New Roman"/>
          <w:color w:val="000000"/>
        </w:rPr>
        <w:t xml:space="preserve"> AJJ in its judgment re-evaluated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before the trial court. The Superior Court warned itself of the danger of convicting on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a single identifying witness especially in circumstances where the conditions </w:t>
      </w:r>
      <w:proofErr w:type="spellStart"/>
      <w:r>
        <w:rPr>
          <w:rFonts w:ascii="Times New Roman" w:hAnsi="Times New Roman" w:cs="Times New Roman"/>
          <w:color w:val="000000"/>
        </w:rPr>
        <w:t>favouring</w:t>
      </w:r>
      <w:proofErr w:type="spellEnd"/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positive identification were absent. The Superior Court found that there was ample light at the bar on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strength of the evidence of PW2.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Learned Counsel for the appellant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latter finding by the Superior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and argued that the evidence as to the quality of the light was inadequate. There was no evidence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what sort of light was present in the bar and at what distance from the identifying witness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was.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made the point that PW2 did not give any details of what features or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details of the appellant which would have enabled him to distinguish and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as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the robbers.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this was an issue of law and therefore available to him and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excluded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consideration as a concurrent finding of fact. He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Maitanyi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198 and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Wanjohi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[1989] KLR 415 which stress that it is usually necessary for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to adduce evidence as to the quality of the light and the distance between the identifying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 and the person identified. In this case there was no such evidence. However in the present case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the evidence from a witness whose credibility was established to the satisfaction of the trial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which had the advantage of seeing and hearing the witness to the effect that there was ample light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able to see the intruders clearly from where he was sitting at the counter. He was, he said, able to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other people in addition to the appellant in the room. It should be borne in mind that the critical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events took place within a bar containing at least twenty customers which would certainly be expected to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be lit reasonably well and not in the sort of house where there is no electricity and lanterns and lamps are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another aspect that needs consideration and that relates to the finding by the learned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Magistrate and the Superior Court that the recognition by the single witness was corroborated by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 of the appellant when he was arrested. His running away was held not to be the conduct of an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innocent person. However this is not very convincing corroboration given that there was also evidence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police were looking for the appellant in respect of other crimes. If this was so the appellant might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 have run away despite not being involved in the </w:t>
      </w:r>
      <w:proofErr w:type="spellStart"/>
      <w:r>
        <w:rPr>
          <w:rFonts w:ascii="Times New Roman" w:hAnsi="Times New Roman" w:cs="Times New Roman"/>
          <w:color w:val="000000"/>
        </w:rPr>
        <w:t>Millenium</w:t>
      </w:r>
      <w:proofErr w:type="spellEnd"/>
      <w:r>
        <w:rPr>
          <w:rFonts w:ascii="Times New Roman" w:hAnsi="Times New Roman" w:cs="Times New Roman"/>
          <w:color w:val="000000"/>
        </w:rPr>
        <w:t xml:space="preserve"> Bar robbery.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taken all these factors into consideration and have come to the conclusion that the case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appellant has not been proved beyond reasonable doubt.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hereby allow the appeal and order that the conviction be set aside and the sentence quashed. The</w:t>
      </w:r>
      <w:r w:rsidR="004A3B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is ordered to be released unless otherwise lawfully held.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Karanja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Mbugua</w:t>
      </w:r>
      <w:proofErr w:type="spellEnd"/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4402E2" w:rsidRDefault="004402E2" w:rsidP="004402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44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E2"/>
    <w:rsid w:val="004402E2"/>
    <w:rsid w:val="004A3B1F"/>
    <w:rsid w:val="008C03A2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0B821-050C-4070-90FD-9C98F181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2018-07-05T05:59:00Z</dcterms:created>
  <dcterms:modified xsi:type="dcterms:W3CDTF">2018-07-10T15:20:00Z</dcterms:modified>
</cp:coreProperties>
</file>