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Chesoni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Silverstein and another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March 2006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1444/02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procedure–Summons to enter appearance – Failure to apply for extension of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validity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summons – Whether the Registrar can re-issue summon that have already expired – Effect of</w:t>
      </w:r>
      <w:r w:rsidR="00B4161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defendant having entered appearance.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sought to strike out the summons and the plaint on the ground that the same were not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on time.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original summons were issued on 6 September 2002. They were collected from the registry but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served upon the defendant. However on 11 February 2005, the plaintiff’s advocate wrote to the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Deputy Registrar requesting reissuance of the summons as the original ones had expired. The Registrar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fresh summons to the plaintiff giving rise to the present application.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original summons, once issued, is valid for a period of twelve months. Where service has not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effected within this period, the court may extend its validity for a specified period. However, the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extension of its validity must be made during the lifetime of the summons, not after it has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expired. Once its validity has expired, there is nothing to extend. It is dead. You cannot breathe new life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it nor reissue it.</w:t>
      </w:r>
    </w:p>
    <w:p w:rsidR="00007AB8" w:rsidRPr="00B41616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Civil Procedure Rules do not allow reissuing of summons. The rules only provide for extension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validity of the summons but it is not possible to extend a summons that has expired.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Uday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Kumar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Chandulal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Thaithi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85 of 1996; </w:t>
      </w:r>
      <w:r>
        <w:rPr>
          <w:rFonts w:ascii="Times New Roman" w:hAnsi="Times New Roman" w:cs="Times New Roman"/>
          <w:i/>
          <w:iCs/>
          <w:color w:val="000000"/>
        </w:rPr>
        <w:t xml:space="preserve">Kalsi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Waitahu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[2001] KLR 5817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(HCK) followed;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Investments and Mortgages Bank Limited </w:t>
      </w:r>
      <w:r>
        <w:rPr>
          <w:rFonts w:ascii="Times New Roman" w:hAnsi="Times New Roman" w:cs="Times New Roman"/>
          <w:color w:val="000000"/>
        </w:rPr>
        <w:t>[2001] 1 EA 274 distinguished.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 and the summons are inseparable. Without the summons, the defendant cannot be called</w:t>
      </w:r>
      <w:r w:rsidR="00B4161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to answer the claims in the plaint.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The fact that the defendant entered appearance could not validate an invalid summons.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Macfay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United African Limited </w:t>
      </w:r>
      <w:r>
        <w:rPr>
          <w:rFonts w:ascii="Times New Roman" w:hAnsi="Times New Roman" w:cs="Times New Roman"/>
          <w:color w:val="000000"/>
        </w:rPr>
        <w:t xml:space="preserve">[1961] 3 All ER 1169;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Uday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Kumar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Chandulal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Thaithi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</w:t>
      </w:r>
      <w:proofErr w:type="gramEnd"/>
      <w:r>
        <w:rPr>
          <w:rFonts w:ascii="Times New Roman" w:hAnsi="Times New Roman" w:cs="Times New Roman"/>
          <w:color w:val="000000"/>
        </w:rPr>
        <w:t xml:space="preserve"> number 85 of 1996 followed.</w:t>
      </w:r>
      <w:bookmarkStart w:id="0" w:name="_GoBack"/>
      <w:bookmarkEnd w:id="0"/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Kalsi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Waitathu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[2001] LLR 5817 (HCK)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Mobil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Service Station v Mobil Oil Kenya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[2004] KLR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Thaithi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[1996] LLR 443 (CAK)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Raju Investments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Vipin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Chandulal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case 3320 of 1991 (UR)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Shah v Investment and Mortgages Bank Limited </w:t>
      </w:r>
      <w:r>
        <w:rPr>
          <w:rFonts w:ascii="Times New Roman" w:hAnsi="Times New Roman" w:cs="Times New Roman"/>
          <w:color w:val="000000"/>
        </w:rPr>
        <w:t xml:space="preserve">[2001] 1 EA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Stephen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Karuoya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Joyce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case 77 of 2002 (UR)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Uday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Kumar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Chandulal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Thaithi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[1996] LLR 443 (CAK) – </w:t>
      </w:r>
      <w:r>
        <w:rPr>
          <w:rFonts w:ascii="Times New Roman" w:hAnsi="Times New Roman" w:cs="Times New Roman"/>
          <w:b/>
          <w:bCs/>
          <w:color w:val="000000"/>
        </w:rPr>
        <w:t xml:space="preserve">D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07AB8" w:rsidRDefault="00007AB8" w:rsidP="00007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AB7022" w:rsidRDefault="00007AB8" w:rsidP="00007AB8">
      <w:proofErr w:type="spellStart"/>
      <w:r>
        <w:rPr>
          <w:rFonts w:ascii="Times New Roman" w:hAnsi="Times New Roman" w:cs="Times New Roman"/>
          <w:i/>
          <w:iCs/>
          <w:color w:val="000000"/>
        </w:rPr>
        <w:t>Macfay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United African Limited </w:t>
      </w:r>
      <w:r>
        <w:rPr>
          <w:rFonts w:ascii="Times New Roman" w:hAnsi="Times New Roman" w:cs="Times New Roman"/>
          <w:color w:val="000000"/>
        </w:rPr>
        <w:t xml:space="preserve">[1961] 3 All ER 1169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8"/>
    <w:rsid w:val="00007AB8"/>
    <w:rsid w:val="00AB7022"/>
    <w:rsid w:val="00B4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5EB9B-DD1F-4615-8885-1C8C58DE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2018-07-05T06:01:00Z</dcterms:created>
  <dcterms:modified xsi:type="dcterms:W3CDTF">2018-07-10T15:21:00Z</dcterms:modified>
</cp:coreProperties>
</file>