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Chesoni and another v Silverstein and another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March 2006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1444/02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Visram J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C40892" w:rsidRDefault="00C40892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procedure–Summons to enter appearance – Failure to apply for extension of</w:t>
      </w:r>
      <w:r w:rsidR="00EE271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validity of summons – Whether the Registrar can re-issue summon that have already expired – Effect of</w:t>
      </w:r>
      <w:r w:rsidR="00EE271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defendant having entered appearance.</w:t>
      </w:r>
    </w:p>
    <w:p w:rsidR="00C40892" w:rsidRDefault="007B759F" w:rsidP="007B75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Visram J: </w:t>
      </w:r>
      <w:r>
        <w:rPr>
          <w:rFonts w:ascii="Times New Roman" w:hAnsi="Times New Roman" w:cs="Times New Roman"/>
          <w:color w:val="000000"/>
        </w:rPr>
        <w:t>In this application, dated 18 March 2005, and brought under Order V, rule 1(7), Order XVI,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6 and Order VI, rules 13(1)(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Civil Procedure Rules, the applicant seeks to strike out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Summons and the plaint on the ground that the same were not served on time.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original summons were issued on 6 September 2002. The said summons together with the plaint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collected from the Registry by counsel for the plaintiff but were not served on the defendants. It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appear that the plaintiff then went to slumber until 11 February 2005, when counsel wrote to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Deputy Registrar requesting for reissuance of summons, as the original ones had expired. The Registrar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28 February 2005, proceeded to issue fresh summons which were served on the respondents on 7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March 2005, some thirty months later. Hence, this application to strike out the same.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submissions before this Court, counsel for the defendant/applicant, Mr </w:t>
      </w:r>
      <w:r>
        <w:rPr>
          <w:rFonts w:ascii="Times New Roman" w:hAnsi="Times New Roman" w:cs="Times New Roman"/>
          <w:i/>
          <w:iCs/>
          <w:color w:val="000000"/>
        </w:rPr>
        <w:t>Gichuhi</w:t>
      </w:r>
      <w:r>
        <w:rPr>
          <w:rFonts w:ascii="Times New Roman" w:hAnsi="Times New Roman" w:cs="Times New Roman"/>
          <w:color w:val="000000"/>
        </w:rPr>
        <w:t>, argued that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original summons having been issued on 6 September 2002 and with no application made pursuant to</w:t>
      </w:r>
    </w:p>
    <w:p w:rsidR="00C40892" w:rsidRPr="007B759F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V, rule 1 for extension of the validity of those summons, the same were deemed to have expired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twelve months. He argued that the same could not be reissued simply by way of a written request to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Deputy Registrar, as Order V, rule 2 and 5, required that an application for extension of validity of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summons be made by filing an application and an affidavit in court. Counsel relied on the cases of </w:t>
      </w:r>
      <w:r>
        <w:rPr>
          <w:rFonts w:ascii="Times New Roman" w:hAnsi="Times New Roman" w:cs="Times New Roman"/>
          <w:i/>
          <w:iCs/>
          <w:color w:val="000000"/>
        </w:rPr>
        <w:t>Raju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Investments Limited v Vipin Chandulal Rajani </w:t>
      </w:r>
      <w:r>
        <w:rPr>
          <w:rFonts w:ascii="Times New Roman" w:hAnsi="Times New Roman" w:cs="Times New Roman"/>
          <w:color w:val="000000"/>
        </w:rPr>
        <w:t xml:space="preserve">High Court civil case 3320 of 1991 (UR), </w:t>
      </w:r>
      <w:r>
        <w:rPr>
          <w:rFonts w:ascii="Times New Roman" w:hAnsi="Times New Roman" w:cs="Times New Roman"/>
          <w:i/>
          <w:iCs/>
          <w:color w:val="000000"/>
        </w:rPr>
        <w:t>Kalsi v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Waitathu </w:t>
      </w:r>
      <w:r>
        <w:rPr>
          <w:rFonts w:ascii="Times New Roman" w:hAnsi="Times New Roman" w:cs="Times New Roman"/>
          <w:color w:val="000000"/>
        </w:rPr>
        <w:t xml:space="preserve">[2001] LLR 5817 (HCK) </w:t>
      </w:r>
      <w:r>
        <w:rPr>
          <w:rFonts w:ascii="Times New Roman" w:hAnsi="Times New Roman" w:cs="Times New Roman"/>
          <w:i/>
          <w:iCs/>
          <w:color w:val="000000"/>
        </w:rPr>
        <w:t xml:space="preserve">Stephen Karuoya Mwangi v Joyce Mumbi </w:t>
      </w:r>
      <w:r>
        <w:rPr>
          <w:rFonts w:ascii="Times New Roman" w:hAnsi="Times New Roman" w:cs="Times New Roman"/>
          <w:color w:val="000000"/>
        </w:rPr>
        <w:t>High Court civil case 77 of</w:t>
      </w:r>
    </w:p>
    <w:p w:rsidR="00C40892" w:rsidRPr="007B759F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2002 (UR), </w:t>
      </w:r>
      <w:r>
        <w:rPr>
          <w:rFonts w:ascii="Times New Roman" w:hAnsi="Times New Roman" w:cs="Times New Roman"/>
          <w:i/>
          <w:iCs/>
          <w:color w:val="000000"/>
        </w:rPr>
        <w:t xml:space="preserve">Mobil Kitale Service Station v Mobil Oil Kenya Limited </w:t>
      </w:r>
      <w:r>
        <w:rPr>
          <w:rFonts w:ascii="Times New Roman" w:hAnsi="Times New Roman" w:cs="Times New Roman"/>
          <w:color w:val="000000"/>
        </w:rPr>
        <w:t xml:space="preserve">[2004] KLR PPI </w:t>
      </w:r>
      <w:r>
        <w:rPr>
          <w:rFonts w:ascii="Times New Roman" w:hAnsi="Times New Roman" w:cs="Times New Roman"/>
          <w:i/>
          <w:iCs/>
          <w:color w:val="000000"/>
        </w:rPr>
        <w:t>and Rajani and</w:t>
      </w:r>
      <w:r w:rsidR="007B759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others v Thaithi </w:t>
      </w:r>
      <w:r>
        <w:rPr>
          <w:rFonts w:ascii="Times New Roman" w:hAnsi="Times New Roman" w:cs="Times New Roman"/>
          <w:color w:val="000000"/>
        </w:rPr>
        <w:t>[1996] LLR 443 (CAK).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Relying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Shah v Investment and Mortgages Bank Limited </w:t>
      </w:r>
      <w:r>
        <w:rPr>
          <w:rFonts w:ascii="Times New Roman" w:hAnsi="Times New Roman" w:cs="Times New Roman"/>
          <w:color w:val="000000"/>
        </w:rPr>
        <w:t xml:space="preserve">[2001] 1 EA 274, Mr </w:t>
      </w:r>
      <w:r>
        <w:rPr>
          <w:rFonts w:ascii="Times New Roman" w:hAnsi="Times New Roman" w:cs="Times New Roman"/>
          <w:i/>
          <w:iCs/>
          <w:color w:val="000000"/>
        </w:rPr>
        <w:t>Adere</w:t>
      </w:r>
      <w:r>
        <w:rPr>
          <w:rFonts w:ascii="Times New Roman" w:hAnsi="Times New Roman" w:cs="Times New Roman"/>
          <w:color w:val="000000"/>
        </w:rPr>
        <w:t>,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plaintiff/respondent, argued that the summons had been properly re-issued by the Deputy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Registrar. In his view the </w:t>
      </w:r>
      <w:r>
        <w:rPr>
          <w:rFonts w:ascii="Times New Roman" w:hAnsi="Times New Roman" w:cs="Times New Roman"/>
          <w:i/>
          <w:iCs/>
          <w:color w:val="000000"/>
        </w:rPr>
        <w:t xml:space="preserve">Shah case </w:t>
      </w:r>
      <w:r>
        <w:rPr>
          <w:rFonts w:ascii="Times New Roman" w:hAnsi="Times New Roman" w:cs="Times New Roman"/>
          <w:color w:val="000000"/>
        </w:rPr>
        <w:t>had laid down the rule that a defective summons did not invalidate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suit. He submitted that if a “defective” summons can be re-issued, as was done in the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case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so can an “expired” summons. To him there is no difference between a “defective” summons and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“expired” summons.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Adere </w:t>
      </w:r>
      <w:r>
        <w:rPr>
          <w:rFonts w:ascii="Times New Roman" w:hAnsi="Times New Roman" w:cs="Times New Roman"/>
          <w:color w:val="000000"/>
        </w:rPr>
        <w:t>further argued that even if the summons was invalid, that would only render the “service” of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summons defective, but not render the plaint invalid. In other words, the two documents, the plaint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summons, were separable. He submitted that the defendants having entered appearance, were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estopped from challenging the validity of the summons.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me begin, if I may, with the relevant Civil Procedure Rules that govern this application, and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before this Court. Order V, rules 1(1), (2), (3), (4), (5), (6) and (7) state as follows: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A summons (other than a concurrent summons) shall be valid in the first instance for twelve months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beginning with the date of its issue and a concurrent summons shall be valid in the first instance for the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period of validity of the original summons which is unexpired at the date of issue of the concurrent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summons.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W here a summons has not been served on a defendant, the court may by order extend the validity of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summons from time to time for such period not exceeding in all twenty-four months from the date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its issue if satisfied that it is just to do so.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W here the validity of a summons has been extended under subrule (2), before it may be served it shall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marked with an official stamp showing the period for which its validity has been extended.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W here the validity of a summons is extended, the order shall operate in relation to any other summons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(whether original or concurrent) issued in the same sum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has not been served so as to extend its validity until the period specified in the order.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Application for an order under sub rule (2) shall be made by filing an affidavit setting out the attempts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 at service and their result, and the order may be made without the advocate or plaintiff in person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being heard.</w:t>
      </w:r>
    </w:p>
    <w:p w:rsidR="00C40892" w:rsidRDefault="007B759F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6. A</w:t>
      </w:r>
      <w:r w:rsidR="00C40892">
        <w:rPr>
          <w:rFonts w:ascii="Times New Roman" w:hAnsi="Times New Roman" w:cs="Times New Roman"/>
          <w:color w:val="000000"/>
          <w:sz w:val="20"/>
          <w:szCs w:val="20"/>
        </w:rPr>
        <w:t>s many attempts to serve the summons as are necessary may be made during the period of validity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40892">
        <w:rPr>
          <w:rFonts w:ascii="Times New Roman" w:hAnsi="Times New Roman" w:cs="Times New Roman"/>
          <w:color w:val="000000"/>
          <w:sz w:val="20"/>
          <w:szCs w:val="20"/>
        </w:rPr>
        <w:t>the summons.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W here no application has been made under subrule (2) the court may without notice dismiss the suit at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expiry of twenty-four months from the issue of the original summons.”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Based on these provisions, the original summons, once issued, is valid for a period of twelve months.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service has not been effected within this period, the court may extend its validity for a specified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period. However, the application for extension of its validity must be made during the lifetime of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summons, not after it has expired. Once its validity has expired, there is nothing to extend. It is dead. You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breathe new life into it. You cannot “reissue” it. In fact, there is no provision that I can find in the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Civil Procedure Rules allowing for the “reissue” of summons. What the rules provide for is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“extension” of the validity of the summons. And as I have observed, it is not possible to “extend” a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that has expired, that is dead, that simply does not exist.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Uday Kumar Chandulal Rajani v Charles Thaithi </w:t>
      </w:r>
      <w:r>
        <w:rPr>
          <w:rFonts w:ascii="Times New Roman" w:hAnsi="Times New Roman" w:cs="Times New Roman"/>
          <w:color w:val="000000"/>
        </w:rPr>
        <w:t>[1996] LLR 443 (CAK) the Court of Appeal,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with almost similar facts stated as follows: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“Order V, rule 1 provides a comprehensive code for the duration and renewal of summons, and therefore the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non-compliance with the procedural aspect caused by failure to renew the summons under this rule is such a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 defect in the proceedings that the inherent powers of the Court under section 3A of the Civil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Procedure Act cannot cure. The first summons having expired and the Deputy Registrar having held that there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no proper service he could not in the circumstances reissue fresh summons after the expiry of the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aforesaid 24 month period. Neither did the entry of appearance by the defendants revive the summons which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expired. (T)he original summons in an action is only valid for the purposes of service for 12 months from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date of its re-issue. The Court, before 1996, could only by order extend its validity from time to time for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period not exceeding 24 months from the date of its issue if satisfied that it was just to do so. However,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case, neither the plaintiff nor his advocate did exhaust the provisions of Order V, rule 1(5) by making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application for extension of the validity of the original summons; and consequently, the Court had no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 to extend the validity of summons beyond 24 months, when in fact there was no valid summons in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existence. It follows, therefore, that the alleged service upon the defendants was ineffective and invalid and so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the summons issued (by the Deputy Registrar).”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Now, it is common ground that the plaintiff had never in fact applied for the extension of the validity of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summons, during the lifespan of the summons. What they did was simply to write a letter to the Deputy</w:t>
      </w:r>
    </w:p>
    <w:p w:rsidR="00C40892" w:rsidRPr="007B759F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Registrar requesting that the summons be “reissued”, and the Deputy Registrar did exactly that. So,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the decision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Uday Kumar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), and my own decision in </w:t>
      </w:r>
      <w:r>
        <w:rPr>
          <w:rFonts w:ascii="Times New Roman" w:hAnsi="Times New Roman" w:cs="Times New Roman"/>
          <w:i/>
          <w:iCs/>
          <w:color w:val="000000"/>
        </w:rPr>
        <w:t>Kalsi v Waitathu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[2001] LLR 5817 (HCK) the summons having expired, there was nothing to extend, and reissuance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thereafter of the summons was invalid.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Mr </w:t>
      </w:r>
      <w:r>
        <w:rPr>
          <w:rFonts w:ascii="Times New Roman" w:hAnsi="Times New Roman" w:cs="Times New Roman"/>
          <w:i/>
          <w:iCs/>
          <w:color w:val="000000"/>
        </w:rPr>
        <w:t xml:space="preserve">Adere </w:t>
      </w:r>
      <w:r>
        <w:rPr>
          <w:rFonts w:ascii="Times New Roman" w:hAnsi="Times New Roman" w:cs="Times New Roman"/>
          <w:color w:val="000000"/>
        </w:rPr>
        <w:t xml:space="preserve">has referred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arguing that an “expired” summons could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indeed be “reissued”. I am unable to agree with him in that interpretation of the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case. In my humble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opinion, that is not what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 xml:space="preserve">case is all about. The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case was majorly about whether an “unsigned” plaint is valid in law.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one of the other issues that the Court had to deal with in that case, related to the validity of a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“defective” summons. Note “defective” summons, not “expired” summons. There, the presiding Judge in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had found that the summons was invalid because it had provided for entry of appearance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ten days instead of giving the defendants at least ten day to enter appearance. The learned Judge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found the summons to be “defective” ordered fresh summons to issue. The Court of Appeal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that decision. However, that situation, in my view, is completely different with what I find in the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before me. What I have is an “expired” summons, not a “defective” summons, and accordingly I find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case is inapplicable to, and distinguishable from, this case.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Adere </w:t>
      </w:r>
      <w:r>
        <w:rPr>
          <w:rFonts w:ascii="Times New Roman" w:hAnsi="Times New Roman" w:cs="Times New Roman"/>
          <w:color w:val="000000"/>
        </w:rPr>
        <w:t>submitted before me that should I find the summons defective or invalid, I should not strike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the plaint, as it stands on its own. I would disagree. The two documents are indeed inseparable.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Without the Summons, the defendant cannot be called upon to answer the claims in the plaint. Indeed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Order V, rule 1(7) states that where no application to extend the validity of summons has been made,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suit” may be dismissed.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let me say, for what it is worth, that the plaintiff’s application for reissue of summons, by way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“letter” to the Deputy Registrar was irregular. Order V, rule 1(5) stipulates that an application for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extension of the validity of summons must be supported by an affidavit setting out the efforts made at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 No such application was made. The fact that the defendant entered appearance is neither here,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nor there, and in any event that of itself could not “validate” an invalid summons (see </w:t>
      </w:r>
      <w:r>
        <w:rPr>
          <w:rFonts w:ascii="Times New Roman" w:hAnsi="Times New Roman" w:cs="Times New Roman"/>
          <w:i/>
          <w:iCs/>
          <w:color w:val="000000"/>
        </w:rPr>
        <w:t xml:space="preserve">Uday Kumar </w:t>
      </w:r>
      <w:r>
        <w:rPr>
          <w:rFonts w:ascii="Times New Roman" w:hAnsi="Times New Roman" w:cs="Times New Roman"/>
          <w:color w:val="000000"/>
        </w:rPr>
        <w:t>case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)). Indeed, Lord Denning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Macfay v United African Limited </w:t>
      </w:r>
      <w:r>
        <w:rPr>
          <w:rFonts w:ascii="Times New Roman" w:hAnsi="Times New Roman" w:cs="Times New Roman"/>
          <w:color w:val="000000"/>
        </w:rPr>
        <w:t>[1961] 3 All ER 1169 at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1172 stated: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“If an act is void, then it is in law a nullity and not a mere irregularity. It is not only bad but incurably bad . . 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every proceeding which is founded on it is also bad and incurably bad. You cannot put something on</w:t>
      </w:r>
      <w:r w:rsidR="007B759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nothing and expect it to stay there. It will collapse.”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 and for reasons cited above, I will allow this application, and strike out the suit herein, with</w:t>
      </w:r>
      <w:r w:rsidR="007B759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costs to the defendant/applicants.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Gichuhi</w:t>
      </w:r>
    </w:p>
    <w:p w:rsidR="00C40892" w:rsidRDefault="00C40892" w:rsidP="00C4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C40892" w:rsidP="00C40892"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Adere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92"/>
    <w:rsid w:val="00457E4B"/>
    <w:rsid w:val="007B759F"/>
    <w:rsid w:val="00AB7022"/>
    <w:rsid w:val="00C40892"/>
    <w:rsid w:val="00E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E614-A811-4CDE-AAD5-F9E0CEAC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2018-07-05T06:02:00Z</dcterms:created>
  <dcterms:modified xsi:type="dcterms:W3CDTF">2018-07-10T15:37:00Z</dcterms:modified>
</cp:coreProperties>
</file>