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China Road Bridge Corporation (Kenya) v DMK Construction Ltd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325/00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Reference – Party filing two suits after matter being referred to arbitration ready and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willing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do all things necessary for proper conduct of the arbitration – Whether desirable to maintain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two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disparate tribunals – Section 6 – Arbitration Act of 1995.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Review – Sufficient reason to warrant review – Party obtaining order staying suit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pending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arbitration – Party subsequently filing two suits about same subject matter – Whether order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staying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suit pending arbitration may be reviewed – Order XLIV, rule 1(1) – Civil Procedure Rules.</w:t>
      </w:r>
    </w:p>
    <w:p w:rsidR="007B1328" w:rsidRDefault="00BC11BF" w:rsidP="007B13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7B1328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sued the appellant in the High Court for breach of a subcontract agreement in respect of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construction of a 26 </w:t>
      </w:r>
      <w:proofErr w:type="spellStart"/>
      <w:r>
        <w:rPr>
          <w:rFonts w:ascii="Times New Roman" w:hAnsi="Times New Roman" w:cs="Times New Roman"/>
          <w:color w:val="000000"/>
        </w:rPr>
        <w:t>kilometres</w:t>
      </w:r>
      <w:proofErr w:type="spellEnd"/>
      <w:r>
        <w:rPr>
          <w:rFonts w:ascii="Times New Roman" w:hAnsi="Times New Roman" w:cs="Times New Roman"/>
          <w:color w:val="000000"/>
        </w:rPr>
        <w:t xml:space="preserve"> road. The respondent claimed for general damages for breach of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and a permanent injunction restraining the appellant from making recourse to a performance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bond and an advance payment bond under the contract.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entered appearance and filed an application under section 6(1)(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(2) of the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Act seeking a stay of proceedings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reference to arbitration in terms of an arbitration clause contained in the contract between the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parties. The application was granted by the Court.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subsequently thereafter, the appellant instituted two suits High Court civil case number 466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467 of 1999 against Stallion Insurance Company Limited (the Insurance Company) claiming various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sums of money in respect of local and foreign portions guaranteed under the performance bond and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 payment bond.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filed an application seeking review of the orders made staying the suit and referring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dispute to arbitration, on the ground that since obtaining the orders, the appellant had instituted two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suits which form the crux of the claim in the present suit and that by filing the said two suits the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had exhibited lack of </w:t>
      </w:r>
      <w:r>
        <w:rPr>
          <w:rFonts w:ascii="Times New Roman" w:hAnsi="Times New Roman" w:cs="Times New Roman"/>
          <w:i/>
          <w:iCs/>
          <w:color w:val="000000"/>
        </w:rPr>
        <w:t xml:space="preserve">bona fides </w:t>
      </w:r>
      <w:r>
        <w:rPr>
          <w:rFonts w:ascii="Times New Roman" w:hAnsi="Times New Roman" w:cs="Times New Roman"/>
          <w:color w:val="000000"/>
        </w:rPr>
        <w:t>as it cannot approbate and reprobate. The appellant contended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two subsequent suits related to contracts of suretyship between it and a third party (the Insurance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Company) and that the contracts created their own obligations and causes of action independent of the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between the appellant and the respondent.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held that by filing the two subsequent suits, the appellant had in effect by conduct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waived their rights to rely on the arbitration clause in the subcontract as to allow them to exploit the same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would mean their making recourse to the same performance bond and the same advance payment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bond in the normal courts of law while in this case the proceedings were stayed to await arbitration. He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it would be unfair and unjust to allow such a situation and proceeded to review his order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staying the suit awaiting arbitration.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and appealed to the Court of Appeal.</w:t>
      </w:r>
      <w:r w:rsidR="007B1328">
        <w:rPr>
          <w:rFonts w:ascii="Times New Roman" w:hAnsi="Times New Roman" w:cs="Times New Roman"/>
          <w:color w:val="000000"/>
        </w:rPr>
        <w:t xml:space="preserve"> </w:t>
      </w:r>
    </w:p>
    <w:p w:rsidR="007B1328" w:rsidRDefault="007B1328" w:rsidP="007B13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11BF" w:rsidRDefault="00BC11BF" w:rsidP="007B13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act by the appellant of subsequently filing other suits can clearly be construed to mean that it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longer ready and willing to do all things necessary for the proper conduct of the arbitration.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desirable to maintain two disparate tribunals (the Court and the arbitration) concurrently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determining multiple suits with the same facts and law. </w:t>
      </w:r>
      <w:r>
        <w:rPr>
          <w:rFonts w:ascii="Times New Roman" w:hAnsi="Times New Roman" w:cs="Times New Roman"/>
          <w:i/>
          <w:iCs/>
          <w:color w:val="000000"/>
        </w:rPr>
        <w:t xml:space="preserve">Collins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Cromic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[1964] 2 All ER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332 adopted.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did not err in allowing the respondent’s application for review.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 with costs.</w:t>
      </w:r>
      <w:r w:rsidR="007B13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Collins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Cromic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[1964] 2 All ER 332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Harbottle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(Mercantile) Ltd and another v National Westminster Bank Ltd and others </w:t>
      </w:r>
      <w:r>
        <w:rPr>
          <w:rFonts w:ascii="Times New Roman" w:hAnsi="Times New Roman" w:cs="Times New Roman"/>
          <w:color w:val="000000"/>
        </w:rPr>
        <w:t>[1977] 2 All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ER 862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C11BF" w:rsidRDefault="00BC11BF" w:rsidP="00BC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Kitchin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 669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E97396" w:rsidRDefault="00BC11BF" w:rsidP="00BC11BF">
      <w:r>
        <w:rPr>
          <w:rFonts w:ascii="Times New Roman" w:hAnsi="Times New Roman" w:cs="Times New Roman"/>
          <w:color w:val="000080"/>
        </w:rPr>
        <w:t>Page 33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BF"/>
    <w:rsid w:val="007B1328"/>
    <w:rsid w:val="00BC11BF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F23DF-FFDE-45DB-9248-1A304027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2018-07-03T13:26:00Z</dcterms:created>
  <dcterms:modified xsi:type="dcterms:W3CDTF">2018-07-12T07:44:00Z</dcterms:modified>
</cp:coreProperties>
</file>