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551" w:rsidRDefault="00994551" w:rsidP="00994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China Road Bridge Corporation (Kenya) v DMK Construction Ltd</w:t>
      </w:r>
    </w:p>
    <w:p w:rsidR="00994551" w:rsidRDefault="00994551" w:rsidP="00994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994551" w:rsidRDefault="00994551" w:rsidP="00994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9 July 2004</w:t>
      </w:r>
    </w:p>
    <w:p w:rsidR="00994551" w:rsidRDefault="00994551" w:rsidP="00994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325/00</w:t>
      </w:r>
    </w:p>
    <w:p w:rsidR="00994551" w:rsidRDefault="00994551" w:rsidP="00994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994551" w:rsidRDefault="00994551" w:rsidP="00994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994551" w:rsidRDefault="00994551" w:rsidP="00994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F24D94" w:rsidRDefault="00994551" w:rsidP="00F24D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i/>
          <w:iCs/>
          <w:color w:val="000000"/>
        </w:rPr>
        <w:t>[1] Arbitration – Reference – Party filing two suits after matter being referred to arbitration ready and</w:t>
      </w:r>
      <w:r w:rsidR="00F24D9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willing to do all things necessary for proper conduct of the arbitration – Whether desirable to maintain</w:t>
      </w:r>
      <w:r w:rsidR="00F24D9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two disparate tribunals – Section 6 – Arbitration Act of 1995.</w:t>
      </w:r>
      <w:r w:rsidR="00F24D9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[2] Civil procedure – Review – Sufficient reason to warrant review – Party obtaining order staying suit</w:t>
      </w:r>
      <w:r w:rsidR="00F24D9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pending arbitration – Party subsequently filing two suits about same subject matter – Whether order</w:t>
      </w:r>
      <w:r w:rsidR="00F24D9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staying suit pending arbitration may be reviewed – Order XLIV, rule 1(1) – Civil Procedure Rules.</w:t>
      </w:r>
      <w:r w:rsidR="00F24D94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F24D94">
        <w:rPr>
          <w:rFonts w:ascii="Times New Roman" w:hAnsi="Times New Roman" w:cs="Times New Roman"/>
          <w:color w:val="000080"/>
        </w:rPr>
        <w:t xml:space="preserve"> </w:t>
      </w:r>
    </w:p>
    <w:p w:rsidR="00F24D94" w:rsidRDefault="00F24D94" w:rsidP="00F24D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</w:p>
    <w:p w:rsidR="00994551" w:rsidRDefault="00F24D94" w:rsidP="00F24D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994551" w:rsidRDefault="00994551" w:rsidP="00F24D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OMOLO, TUNOI AND GITHINJI JJA: </w:t>
      </w:r>
      <w:r>
        <w:rPr>
          <w:rFonts w:ascii="Times New Roman" w:hAnsi="Times New Roman" w:cs="Times New Roman"/>
          <w:color w:val="000000"/>
        </w:rPr>
        <w:t xml:space="preserve">This is an appeal from the ruling of Onyango 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 xml:space="preserve"> J (as he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then was) delivered on 27 January 2000 by which the Learned Judge allowed the respondent’s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for review of his orders made on 7 April 1999.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is a foreign entity incorporated in the Peoples’ Republic of China and duly registered in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Kenya under the Companies Act. It is one of the major building and civil engineers in the country. The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is a company incorporated in Kenya and also carries on the business of building and civil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engineering contracts within the country.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a plaint lodged in the High Court of Kenya at </w:t>
      </w:r>
      <w:proofErr w:type="spellStart"/>
      <w:r>
        <w:rPr>
          <w:rFonts w:ascii="Times New Roman" w:hAnsi="Times New Roman" w:cs="Times New Roman"/>
          <w:color w:val="000000"/>
        </w:rPr>
        <w:t>Milimani</w:t>
      </w:r>
      <w:proofErr w:type="spellEnd"/>
      <w:r>
        <w:rPr>
          <w:rFonts w:ascii="Times New Roman" w:hAnsi="Times New Roman" w:cs="Times New Roman"/>
          <w:color w:val="000000"/>
        </w:rPr>
        <w:t xml:space="preserve"> Commercial Courts the respondent sued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for an alleged breach of sub-contract Agreement in respect of the construction of a 26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kilometre</w:t>
      </w:r>
      <w:proofErr w:type="spellEnd"/>
      <w:r>
        <w:rPr>
          <w:rFonts w:ascii="Times New Roman" w:hAnsi="Times New Roman" w:cs="Times New Roman"/>
          <w:color w:val="000000"/>
        </w:rPr>
        <w:t xml:space="preserve"> road in length from 170 km up to 144 km towards the direction of </w:t>
      </w:r>
      <w:proofErr w:type="spellStart"/>
      <w:r>
        <w:rPr>
          <w:rFonts w:ascii="Times New Roman" w:hAnsi="Times New Roman" w:cs="Times New Roman"/>
          <w:color w:val="000000"/>
        </w:rPr>
        <w:t>Hola</w:t>
      </w:r>
      <w:proofErr w:type="spellEnd"/>
      <w:r>
        <w:rPr>
          <w:rFonts w:ascii="Times New Roman" w:hAnsi="Times New Roman" w:cs="Times New Roman"/>
          <w:color w:val="000000"/>
        </w:rPr>
        <w:t>. The respondent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pleaded,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as follows: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“5.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Vide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clause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3) of the said subcontract, the defendant agreed to pay the plaintiff such sums as would</w:t>
      </w:r>
      <w:r w:rsidR="00F24D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from time to time be certified, by the engineer appointed by the employer for that purpose, to be</w:t>
      </w:r>
      <w:r w:rsidR="00F24D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payable, such payment to be made within 75 days of such certification by the engineer, but not later</w:t>
      </w:r>
      <w:r w:rsidR="00F24D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14 days after the receipt of funds for that purpose by the main contractor.</w:t>
      </w:r>
      <w:r w:rsidR="00F24D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6.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V ide </w:t>
      </w:r>
      <w:r>
        <w:rPr>
          <w:rFonts w:ascii="Times New Roman" w:hAnsi="Times New Roman" w:cs="Times New Roman"/>
          <w:color w:val="000000"/>
          <w:sz w:val="20"/>
          <w:szCs w:val="20"/>
        </w:rPr>
        <w:t>clause 60(4) of the main contract, it was expressly provided that if a certificate, duly issued by the</w:t>
      </w:r>
      <w:r w:rsidR="00F24D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certifying authority aforesaid remained unpaid beyond the aforesaid period, the defendant would pay</w:t>
      </w:r>
      <w:r w:rsidR="00F24D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the plaintiff interest on the unpaid amount, for the period it remained outstanding, at the commercial</w:t>
      </w:r>
      <w:r w:rsidR="00F24D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bank lending rate prevailing during the period of default.</w:t>
      </w:r>
      <w:r w:rsidR="00F24D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8. 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urther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vide </w:t>
      </w:r>
      <w:r>
        <w:rPr>
          <w:rFonts w:ascii="Times New Roman" w:hAnsi="Times New Roman" w:cs="Times New Roman"/>
          <w:color w:val="000000"/>
          <w:sz w:val="20"/>
          <w:szCs w:val="20"/>
        </w:rPr>
        <w:t>clause 12(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and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subcontract, it was specified that a performance bond and an</w:t>
      </w:r>
      <w:r w:rsidR="00F24D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advance payment bond were to be provided by the plaintiff, to the defendant, prior to the</w:t>
      </w:r>
      <w:r w:rsidR="00F24D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commencement of the works.</w:t>
      </w:r>
      <w:r w:rsidR="00F24D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11. 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espite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having been furnished with the performance bond, and the advance payment bond, in</w:t>
      </w:r>
      <w:r w:rsidR="00F24D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December 1996, the defendant in breach of the said subcontract refused, failed or neglected to pay to</w:t>
      </w:r>
      <w:r w:rsidR="00F24D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defendant the entire advance payment in a lump sum, but instead chose to erratically make</w:t>
      </w:r>
      <w:r w:rsidR="00F24D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piecemeal instalments, which action occasioned loss and damage to the plaintiff”.</w:t>
      </w:r>
      <w:r w:rsidR="00F24D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further averred that it having fully observed and fulfilled all the terms of the subcontract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appellant, despite demands made and notice of intention to sue having been issued, has refused, failed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neglected to pay the sums demanded to or admit liability.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claimed against the appellant for losses and expenses incurred by it due to what it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termed cumulative breaches of the subcontract;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4 970 614 30 being interest at bank rates;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2 917 205 35 in respect of interim certificate number 2 together with interest;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17 752 194 loss of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profit; general damages for breach of contract and a permanent injunction restraining the appellant or its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servants and agents from making any recourse to the performance bond and the advance payment bond.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duly entered appearance on 24 March 1999 and on the same day applied by a chamber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summons under sections 6(1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and 2 of the Arbitration Act of 1995, rule 2 of the Arbitration Rules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1997 and section 3A of the Civil Procedure Act for stay of proceedings pending reference to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arbitration in terms of an arbitration clause contained in the contract between the parties. On 7 April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1999, the Learned Judge granted the orders sought and referred the suit High Court civil case number 256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1999 to arbitration.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on 23 April 1999, the appellant instituted two suits High Court civil case number 466 and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467 of 1999, at </w:t>
      </w:r>
      <w:proofErr w:type="spellStart"/>
      <w:r>
        <w:rPr>
          <w:rFonts w:ascii="Times New Roman" w:hAnsi="Times New Roman" w:cs="Times New Roman"/>
          <w:color w:val="000000"/>
        </w:rPr>
        <w:t>Milimani</w:t>
      </w:r>
      <w:proofErr w:type="spellEnd"/>
      <w:r>
        <w:rPr>
          <w:rFonts w:ascii="Times New Roman" w:hAnsi="Times New Roman" w:cs="Times New Roman"/>
          <w:color w:val="000000"/>
        </w:rPr>
        <w:t xml:space="preserve"> Commercial Courts against Stallion Insurance Company Ltd (the Insurance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Company) claiming various sums of money in respect of local and foreign portions guaranteed under the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performance bond and </w:t>
      </w:r>
      <w:r>
        <w:rPr>
          <w:rFonts w:ascii="Times New Roman" w:hAnsi="Times New Roman" w:cs="Times New Roman"/>
          <w:color w:val="000000"/>
        </w:rPr>
        <w:lastRenderedPageBreak/>
        <w:t>advance payment bond. By a motion lodged on 23 July 1999, the respondent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moved the superior court to review its orders made on 7 April 1999, with a view to setting them aside on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ground that the appellant had, since obtaining the orders referring the dispute to arbitration, instituted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two other suits which form the crux of the claim in High Court civil case number 256 of 1999 and that by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filing the said two suits the appellant had exhibited lack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bonafides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it cannot approbate and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reprobate. But, the appellant contended that the two subsequent suits relate to contracts of suretyship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between it and a third party, the Insurance Company, which contracts create their own obligations and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causes of action independent of the dispute between the appellant and the respondent; and moreover, any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orders obtained in High Court civil case number 256 of 1999 cannot be enforced against the insurance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company, the defendant in High Court civil case number 466 and 467 of 1999. The appellant further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averred that the two suits are based on advance payment bond and performance bond which bonds do not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contain any arbitration clauses. The appellant also contended that the same bonds expressly waive the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necessity of it demanding the debt from the respondent.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Judge in a reserved ruling held: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 find that as a result of the respondent/defendant in this case having filed two cases High Court civil case</w:t>
      </w:r>
      <w:r w:rsidR="00F24D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number 466 of 1999 and High Court civil case number 467 of 1999 after the ruling I made in which I stayed</w:t>
      </w:r>
      <w:r w:rsidR="00F24D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proceedings in this case and referred this case to the arbitrator and these other two cases seeking the</w:t>
      </w:r>
      <w:r w:rsidR="00F24D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reliefs which in this case the plaintiff/applicant was seeking court’s orders to stop them from seeking, the</w:t>
      </w:r>
      <w:r w:rsidR="00F24D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respondents have in effect, by conduct waived their rights to rely on the arbitration clause in the subcontract</w:t>
      </w:r>
      <w:r w:rsidR="00F24D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 to allow them to exploit the same right will mean their making recourse to the same performance bond and</w:t>
      </w:r>
      <w:r w:rsidR="00F24D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same advance payment bond in the normal courts of law while in this case the proceedings are stayed to</w:t>
      </w:r>
      <w:r w:rsidR="00F24D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await arbitration. In my humble opinion, that would be unfair and unjust”.</w:t>
      </w:r>
      <w:r w:rsidR="00F24D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Judge then concluded: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 have no alternative, in the circumstances but to review my orders made on 7 April 1999. The same orders</w:t>
      </w:r>
      <w:r w:rsidR="00F24D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are hereby reviewed and it is now ordered that this case will proceed as normal in the Court of law”.</w:t>
      </w:r>
      <w:r w:rsidR="00F24D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Being aggrieved by that ruling, the appellant has preferred this appeal citing eight grounds of appeal the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main grounds being that the Learned Judge erred in failing to give effect to the mandatory provisions of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6(1)(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Arbitration Act when he reviewed his decision to refer the dispute in High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civil case number 256 of 1999 to arbitration yet the appellant had satisfied all the conditions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specified in the said section; and, that the Learned Judge ought to have found that the two latter suits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severable and had distinct causes of action and facts in issue from those in High Court civil case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256 of 1999.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ruling delivered on 7 April 1999, the Learned Judge was satisfied that there clearly existed a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dispute between the parties to this appeal and that it was mandatory under the subcontract and the main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contract to refer the dispute to arbitration and that is why he made the orders that he did. However, the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main issue now before us is whether or not there were justifiable grounds for him to review those orders,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in other words, had the appellant reneged on arbitration so as to attract review?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think that the act by the appellant of subsequently filing other suits can clearly be construed to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 that it was no longer ready and willing to do all things necessary for the proper conduct of the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arbitration. The lodging of the suits can also be taken to mean that the appellant was no longer ready to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perform its part of the agreement under the subcontract and the contract regarding arbitration. In the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circumstances, the Learned Judge cannot be faulted in his decision which resulted in the suit being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ordered to be heard and disposed of in court. We would further agree with the Learned Judge that it is not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desirable to maintain two disparate tribunals (the Court and the arbitrator) concurrently determining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multiple suits with the same facts and the law. In this regard we adopt the holding in the case of </w:t>
      </w:r>
      <w:r>
        <w:rPr>
          <w:rFonts w:ascii="Times New Roman" w:hAnsi="Times New Roman" w:cs="Times New Roman"/>
          <w:i/>
          <w:iCs/>
          <w:color w:val="000000"/>
        </w:rPr>
        <w:t>Collins v</w:t>
      </w:r>
      <w:r w:rsidR="00F24D94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Cromie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>[1964] 2 All ER 332 where it says: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was undesirable that there should be two proceedings before two different tribunals (the official referee</w:t>
      </w:r>
      <w:r w:rsidR="00F24D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an arbitrator) who might for example reach inconsistent findings: accordingly there were special reasons</w:t>
      </w:r>
      <w:r w:rsidR="00F24D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the exercise of the discretion refusing a stay of proceedings”.</w:t>
      </w:r>
      <w:r w:rsidR="00F24D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Miller</w:t>
      </w:r>
      <w:r>
        <w:rPr>
          <w:rFonts w:ascii="Times New Roman" w:hAnsi="Times New Roman" w:cs="Times New Roman"/>
          <w:color w:val="000000"/>
        </w:rPr>
        <w:t>, for the appellant, has submitted before us as in the superior court that the suits High Court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case number 466 and 467 of 1999 concern different parties and relate only to the question of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suretyship which in law is not bound by the decision in this case between the contract and its employer.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support his argument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Miller </w:t>
      </w:r>
      <w:r>
        <w:rPr>
          <w:rFonts w:ascii="Times New Roman" w:hAnsi="Times New Roman" w:cs="Times New Roman"/>
          <w:color w:val="000000"/>
        </w:rPr>
        <w:t xml:space="preserve">has referred us to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Ex parte Young in re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Kitchin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 669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James LJ says at 670: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Judgment in an action against a principal debtor is not binding on the surety, unless he is made a party</w:t>
      </w:r>
      <w:r w:rsidR="00F24D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to the action; it is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res inter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alios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acta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”.</w:t>
      </w:r>
      <w:r w:rsidR="00F24D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But, the reliefs sought in the two latter cases include an order to stop the appellant from having recourse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performance bond and to the advance payment bond moneys and a decision on them by the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arbitrator may well affect or contradict decisions by the Court in the latter suits and vice versa. In our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view, such a situation may not augur well to and may ridicule judicial </w:t>
      </w:r>
      <w:r>
        <w:rPr>
          <w:rFonts w:ascii="Times New Roman" w:hAnsi="Times New Roman" w:cs="Times New Roman"/>
          <w:color w:val="000000"/>
        </w:rPr>
        <w:lastRenderedPageBreak/>
        <w:t>process.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Miller </w:t>
      </w:r>
      <w:r>
        <w:rPr>
          <w:rFonts w:ascii="Times New Roman" w:hAnsi="Times New Roman" w:cs="Times New Roman"/>
          <w:color w:val="000000"/>
        </w:rPr>
        <w:t>further submitted that performance bonds are on a class of their own just as in the case of a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confirmed letter of credit and the bank was only concerned ensuring that the terms of its mandate and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confirmation had been complied with and was in no way concerned with any contractual disputes and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in exceptional cases would the Courts interfere with the machinery of irrevocable obligations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assumed by the bank. He referred us to </w:t>
      </w:r>
      <w:r>
        <w:rPr>
          <w:rFonts w:ascii="Times New Roman" w:hAnsi="Times New Roman" w:cs="Times New Roman"/>
          <w:i/>
          <w:iCs/>
          <w:color w:val="000000"/>
        </w:rPr>
        <w:t xml:space="preserve">R 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Harbottle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(Mercantile) Ltd and another v National</w:t>
      </w:r>
      <w:r w:rsidR="00F24D9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Westminster Bank Ltd and others </w:t>
      </w:r>
      <w:r>
        <w:rPr>
          <w:rFonts w:ascii="Times New Roman" w:hAnsi="Times New Roman" w:cs="Times New Roman"/>
          <w:color w:val="000000"/>
        </w:rPr>
        <w:t xml:space="preserve">[1977] 2 All ER 862.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Miller </w:t>
      </w:r>
      <w:r>
        <w:rPr>
          <w:rFonts w:ascii="Times New Roman" w:hAnsi="Times New Roman" w:cs="Times New Roman"/>
          <w:color w:val="000000"/>
        </w:rPr>
        <w:t>therefore defended the institution of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two latter suits arguing that they were separate from High Court civil case number 256 of 1999 and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question of inconsistency would not arise. With respect, we do not see any relevance of this case to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matter now before us nor to the application before the superior court. We do not therefore propose to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add any comment on the case by setting out submissions in detail as to do so would be inappropriate as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three suits are still pending hearing in the superior court.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Miller </w:t>
      </w:r>
      <w:r>
        <w:rPr>
          <w:rFonts w:ascii="Times New Roman" w:hAnsi="Times New Roman" w:cs="Times New Roman"/>
          <w:color w:val="000000"/>
        </w:rPr>
        <w:t>also argued that the Learned Judge erred in holding that Order XLIV of the Civil Procedure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Rules allows review on the basis of events occurring subsequent to the time when the order sought to be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reviewed was made. He urged us to allow the appeal on this ground.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we consider the arguments advanced by counsel appearing for both parties, it would be convenient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go back to the notice of motion seeking review of the ruling of 7 April 1999. The notice of motion was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stated to have been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brought under Order XLIV, rule 1 and 2; Order L, rule 17 of the Civil Procedure Rules and section 3A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Civil Procedure Act. Even if the application was not brought under the correct provisions of the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law, that would not be fatal to the application in view of Order L, rule 12 of the Civil Procedure Rules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provides: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“Every order, rule or other statutory provision under or by virtue of which any application is made must</w:t>
      </w:r>
      <w:r w:rsidR="00F24D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ordinarily be stated, but no objection shall be made and no application shall be refused merely by reason of a</w:t>
      </w:r>
      <w:r w:rsidR="00F24D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failure to comply with this rule”.</w:t>
      </w:r>
      <w:r w:rsidR="00F24D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That being the position, we are satisfied that although the appellant might have failed to state the correct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 of the law under which the application for review was made that omission was not by itself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fatal to the application.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Since the appellant was generally asking for review, we take it that the application was properly made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Order XLIV, rule 1(1) of the Civil Procedure Rules which provides: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 (1) Any person considering himself aggrieved:</w:t>
      </w:r>
      <w:r w:rsidR="00F24D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b y a decree or order from which an appeal is allowed, but from which no appeal has</w:t>
      </w:r>
      <w:r w:rsidR="00F24D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been preferred; or</w:t>
      </w:r>
      <w:r w:rsidR="00F24D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b y a decree or order from which no appeal is hereby allowed,</w:t>
      </w:r>
      <w:r w:rsidR="00F24D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who from the discovery of a new and important matter or evidence which, after the</w:t>
      </w:r>
      <w:r w:rsidR="00F24D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exercise of due diligence, was not within his knowledge or could not be produced by</w:t>
      </w:r>
      <w:r w:rsidR="00F24D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him at the time when the decree was passed or error apparent on the face of the record,</w:t>
      </w:r>
      <w:r w:rsidR="00F24D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for any other sufficient reason, desires to obtain a review of the decree or order, may</w:t>
      </w:r>
      <w:r w:rsidR="00F24D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apply for a review of judgment to the Court which passed the decree or made the order</w:t>
      </w:r>
      <w:r w:rsidR="00F24D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without unreasonable delay”.</w:t>
      </w:r>
      <w:r w:rsidR="00F24D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an application for review, an applicant has to show that there has been discovery of a new and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important matter or evidence which, after the exercise of due diligence, was not within knowledge and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 not be produced at the time the decree was passed or on account of some mistake or error apparent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face of the record or any other sufficient reason. However, the respondent was not contending that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was discovery of a new and important matter or evidence or that there was an error on the face of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record. It is clear from the record that the application was brought on the ground that there was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sufficient reason to warrant review of the same orders. The Learned Judge considered in detail the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applicability of Order XLIV, rule 1(1) aforesaid and found no impediment in hearing the application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grounded on it.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have carefully considered the background to this dispute leading to the ruling on application for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review but we are unable to say that the Learned Judge of the superior court can be faulted in allowing it.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reject the grounds of appeal.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circumstances, this appeal is dismissed with costs.</w:t>
      </w:r>
      <w:r w:rsidR="00F24D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appellant:</w:t>
      </w:r>
    </w:p>
    <w:p w:rsidR="00994551" w:rsidRDefault="00994551" w:rsidP="00994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CG Miller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>Miller &amp; Co</w:t>
      </w:r>
    </w:p>
    <w:p w:rsidR="00994551" w:rsidRDefault="00994551" w:rsidP="00994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E97396" w:rsidRDefault="00994551" w:rsidP="00994551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E9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551"/>
    <w:rsid w:val="00994551"/>
    <w:rsid w:val="00E97396"/>
    <w:rsid w:val="00F2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46277-CB66-4EFA-9EAD-E18E4BC6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2226</Words>
  <Characters>12693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2018-07-03T13:27:00Z</dcterms:created>
  <dcterms:modified xsi:type="dcterms:W3CDTF">2018-07-12T07:46:00Z</dcterms:modified>
</cp:coreProperties>
</file>