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Chokwe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February 1973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22/1969 (109/74)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Negligence – Res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loquitur – Railway passenger thrown out of berth – Negligence not shown.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Damages – Personal injuries – Quantum – Injury to hand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35,000</w:t>
      </w:r>
      <w:r>
        <w:rPr>
          <w:rFonts w:ascii="Times New Roman" w:hAnsi="Times New Roman" w:cs="Times New Roman"/>
          <w:i/>
          <w:iCs/>
          <w:color w:val="000000"/>
        </w:rPr>
        <w:t>/-.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claimed damages for injuries suffered when he fell out of a berth on a train on the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Nairobi-Mombasa line. The full facts are set out in the judgment. He claimed that the doctrine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 w:rsidR="0086775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loquitur applied.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fall resulted from the normal swaying of the railway carriage;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defendant had proved that everything had been done with skill and care;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35,000/- would have been awarded for the hand injury.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Ford v. London and South Western Railway Co. </w:t>
      </w:r>
      <w:r>
        <w:rPr>
          <w:rFonts w:ascii="Times New Roman" w:hAnsi="Times New Roman" w:cs="Times New Roman"/>
          <w:color w:val="000000"/>
        </w:rPr>
        <w:t>(1862), F. &amp; F. 730; 175 E.R. 1260.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Readhead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Midland Railway </w:t>
      </w:r>
      <w:r>
        <w:rPr>
          <w:rFonts w:ascii="Times New Roman" w:hAnsi="Times New Roman" w:cs="Times New Roman"/>
          <w:color w:val="000000"/>
        </w:rPr>
        <w:t>(1868 – 9), L.R. 4 Q.B. 379.</w:t>
      </w:r>
    </w:p>
    <w:p w:rsidR="00812A49" w:rsidRDefault="00812A49" w:rsidP="00812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Angus v. London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Tilbury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Southern Railway </w:t>
      </w:r>
      <w:r>
        <w:rPr>
          <w:rFonts w:ascii="Times New Roman" w:hAnsi="Times New Roman" w:cs="Times New Roman"/>
          <w:color w:val="000000"/>
        </w:rPr>
        <w:t>(1906), 22 T.L.R. 222.</w:t>
      </w:r>
    </w:p>
    <w:p w:rsidR="003278A0" w:rsidRDefault="00812A49" w:rsidP="00812A49"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Newberry v. Bristol Tramways and Carriage Co.</w:t>
      </w:r>
      <w:r>
        <w:rPr>
          <w:rFonts w:ascii="Times New Roman" w:hAnsi="Times New Roman" w:cs="Times New Roman"/>
          <w:color w:val="000000"/>
        </w:rPr>
        <w:t>, [1911 –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49"/>
    <w:rsid w:val="003278A0"/>
    <w:rsid w:val="00812A49"/>
    <w:rsid w:val="008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232CF-9186-46A5-B0F1-1216AEB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2018-07-06T11:53:00Z</dcterms:created>
  <dcterms:modified xsi:type="dcterms:W3CDTF">2018-07-12T07:42:00Z</dcterms:modified>
</cp:coreProperties>
</file>