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Chudasama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Social Service League and another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15 October 2004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995/00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Lenaola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Makhandia</w:t>
      </w:r>
      <w:proofErr w:type="spellEnd"/>
      <w:r>
        <w:rPr>
          <w:rFonts w:ascii="Times New Roman" w:hAnsi="Times New Roman" w:cs="Times New Roman"/>
          <w:color w:val="000000"/>
        </w:rPr>
        <w:t xml:space="preserve"> AJJ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Medical negligence – Negligence – Plaintiff injured in road traffic accident – Plaintiff subsequently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transfused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with blood of a wrong blood group – Pre-existing condition of road traffic accident injuries –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pre-existing condition contributing negligence.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Quantum – Judicial precedent – Judicial precedent lacking to give guidance on quantum –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Principles that court should apply in deciding on quantum.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Tort – Negligence Liability – Defendant wrongly transfusing plaintiff with wrong blood group –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defendant liable in negligence.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E6FC2" w:rsidRDefault="0087568C" w:rsidP="003E6F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was injured in a road traffic accident in June 1983 as a result of which she was operated on</w:t>
      </w:r>
      <w:r w:rsidR="003E6F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first defendant in a hospital owned by the second defendant. The plaintiff’s blood group was O</w:t>
      </w:r>
      <w:r w:rsidR="003E6F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positive but the transfusion done at the hospital was with blood group O negative. When a second</w:t>
      </w:r>
      <w:r w:rsidR="003E6F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operation was done in February 1984 the plaintiff was again transfused with blood group O negative. In</w:t>
      </w:r>
      <w:r w:rsidR="003E6F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January 1989 it was discovered upon further tests that the plaintiff was blood group O positive. By this</w:t>
      </w:r>
      <w:r w:rsidR="003E6F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she had undergone treatment on several occasions to rectify the anomalies arising from the road</w:t>
      </w:r>
      <w:r w:rsidR="003E6F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 and the wrong transfusion. The plaintiff filed suit in January 1992 seeking general and special</w:t>
      </w:r>
      <w:r w:rsidR="003E6F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for the wrongful transfusion.</w:t>
      </w:r>
      <w:r w:rsidR="003E6FC2">
        <w:rPr>
          <w:rFonts w:ascii="Times New Roman" w:hAnsi="Times New Roman" w:cs="Times New Roman"/>
          <w:color w:val="000000"/>
        </w:rPr>
        <w:t xml:space="preserve"> </w:t>
      </w:r>
    </w:p>
    <w:p w:rsidR="003E6FC2" w:rsidRDefault="003E6FC2" w:rsidP="003E6F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7568C" w:rsidRDefault="0087568C" w:rsidP="003E6F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first defendant was wholly liable in negligence for the wrongful blood transfusion. Although</w:t>
      </w:r>
      <w:r w:rsidR="003E6F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had been injured in a road traffic accident and was being treated for the injuries, the injuries</w:t>
      </w:r>
      <w:r w:rsidR="003E6F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only a factor contributing to the plaintiff’s ill health and the transfusion materially contributed to</w:t>
      </w:r>
      <w:r w:rsidR="003E6F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injury and was clearly the cause of the injury complained of in the suit; </w:t>
      </w:r>
      <w:r>
        <w:rPr>
          <w:rFonts w:ascii="Times New Roman" w:hAnsi="Times New Roman" w:cs="Times New Roman"/>
          <w:i/>
          <w:iCs/>
          <w:color w:val="000000"/>
        </w:rPr>
        <w:t>McGhee v National Coal</w:t>
      </w:r>
      <w:r w:rsidR="003E6FC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Board </w:t>
      </w:r>
      <w:r>
        <w:rPr>
          <w:rFonts w:ascii="Times New Roman" w:hAnsi="Times New Roman" w:cs="Times New Roman"/>
          <w:color w:val="000000"/>
        </w:rPr>
        <w:t xml:space="preserve">[1973] WLR I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Alphacell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Woodword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[1972] AC 24 adopted. It did not matter that there</w:t>
      </w:r>
      <w:r w:rsidR="003E6F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pre-existing condition. There having been no local judicial precedents on quantum of damages in a</w:t>
      </w:r>
      <w:r w:rsidR="003E6F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of a similar nature, the Judge was to be guided by what he reasonably believed the ordinary citizen</w:t>
      </w:r>
      <w:r w:rsidR="003E6F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regard as right and the prevailing circumstances </w:t>
      </w:r>
      <w:r>
        <w:rPr>
          <w:rFonts w:ascii="Times New Roman" w:hAnsi="Times New Roman" w:cs="Times New Roman"/>
          <w:i/>
          <w:iCs/>
          <w:color w:val="000000"/>
        </w:rPr>
        <w:t xml:space="preserve">Mc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Farlane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Jayside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Health Board</w:t>
      </w:r>
      <w:r w:rsidR="003E6FC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[1999] 4 All ER 961; </w:t>
      </w:r>
      <w:r>
        <w:rPr>
          <w:rFonts w:ascii="Times New Roman" w:hAnsi="Times New Roman" w:cs="Times New Roman"/>
          <w:i/>
          <w:iCs/>
          <w:color w:val="000000"/>
        </w:rPr>
        <w:t xml:space="preserve">Butter v Butter </w:t>
      </w:r>
      <w:r>
        <w:rPr>
          <w:rFonts w:ascii="Times New Roman" w:hAnsi="Times New Roman" w:cs="Times New Roman"/>
          <w:color w:val="000000"/>
        </w:rPr>
        <w:t xml:space="preserve">[1984] KLR 225;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Luduwa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Ayuku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[1986] KLR 395</w:t>
      </w:r>
      <w:r w:rsidR="003E6F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approved. The common sense approach would be useful in reaching a fair and just award.</w:t>
      </w:r>
      <w:r w:rsidR="003E6F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plaintiff was awarded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million as general damages for pain and suffering. The claims for</w:t>
      </w:r>
      <w:r w:rsidR="003E6F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future medical care and lost years were not specifically pleaded and strictly proved and were not</w:t>
      </w:r>
      <w:r w:rsidR="003E6FC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awarded.</w:t>
      </w:r>
      <w:r w:rsidR="003E6FC2">
        <w:rPr>
          <w:rFonts w:ascii="Times New Roman" w:hAnsi="Times New Roman" w:cs="Times New Roman"/>
          <w:color w:val="000000"/>
        </w:rPr>
        <w:t xml:space="preserve"> </w:t>
      </w:r>
    </w:p>
    <w:p w:rsidR="003E6FC2" w:rsidRDefault="003E6FC2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Butter v Butter </w:t>
      </w:r>
      <w:r>
        <w:rPr>
          <w:rFonts w:ascii="Times New Roman" w:hAnsi="Times New Roman" w:cs="Times New Roman"/>
          <w:color w:val="000000"/>
        </w:rPr>
        <w:t xml:space="preserve">[1984] KLR 225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Catholic Diocese of Kisumu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appeal 254 f 2001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Gichobi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BS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Mohindra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Company Limited </w:t>
      </w:r>
      <w:r>
        <w:rPr>
          <w:rFonts w:ascii="Times New Roman" w:hAnsi="Times New Roman" w:cs="Times New Roman"/>
          <w:color w:val="000000"/>
        </w:rPr>
        <w:t xml:space="preserve">High Court civil case 1958 of 1978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Kenya Bus Services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appeal number [2000] LLR 4027 (CAK)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Luduwa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Ayuku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[1986] KLR 395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Munene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High Court civil case 1377 of 1987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Southern Engineering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[1985] KLR 730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lastRenderedPageBreak/>
        <w:t>Alphacell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Woodword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[1972] AC 24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Bonington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Castings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Wardlaw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[1956] AC 613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Mc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Farlane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Tayside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Health Board </w:t>
      </w:r>
      <w:r>
        <w:rPr>
          <w:rFonts w:ascii="Times New Roman" w:hAnsi="Times New Roman" w:cs="Times New Roman"/>
          <w:color w:val="000000"/>
        </w:rPr>
        <w:t xml:space="preserve">[1999] 4 All ER 961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McGhee v National Coal Board </w:t>
      </w:r>
      <w:r>
        <w:rPr>
          <w:rFonts w:ascii="Times New Roman" w:hAnsi="Times New Roman" w:cs="Times New Roman"/>
          <w:color w:val="000000"/>
        </w:rPr>
        <w:t xml:space="preserve">[1973] WLR 1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[2003] 3 All ER138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States</w:t>
      </w:r>
    </w:p>
    <w:p w:rsidR="0087568C" w:rsidRDefault="0087568C" w:rsidP="008756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Brady v Brown </w:t>
      </w:r>
      <w:r>
        <w:rPr>
          <w:rFonts w:ascii="Times New Roman" w:hAnsi="Times New Roman" w:cs="Times New Roman"/>
          <w:color w:val="000000"/>
        </w:rPr>
        <w:t xml:space="preserve">[1990] 2 Med LR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E97396" w:rsidRDefault="0087568C" w:rsidP="0087568C">
      <w:r>
        <w:rPr>
          <w:rFonts w:ascii="Times New Roman" w:hAnsi="Times New Roman" w:cs="Times New Roman"/>
          <w:i/>
          <w:iCs/>
          <w:color w:val="000000"/>
        </w:rPr>
        <w:t>Doe v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8C"/>
    <w:rsid w:val="003E6FC2"/>
    <w:rsid w:val="0087568C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4D1ED-A940-48BD-86D1-4142AE7D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2018-07-03T13:28:00Z</dcterms:created>
  <dcterms:modified xsi:type="dcterms:W3CDTF">2018-07-12T07:47:00Z</dcterms:modified>
</cp:coreProperties>
</file>