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Chudasama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Social Service League and another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October 2004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995/00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AJJ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Medical negligence – Negligence – Plaintiff injured in road traffic accident – Plaintiff subsequently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transfused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blood of a wrong blood group – Pre-existing condition of road traffic accident injuries –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pre-existing condition contributing negligence.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Quantum – Judicial precedent – Judicial precedent lacking to give guidance on quantum –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Principles that court should apply in deciding on quantum.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Tort – Negligence Liability – Defendant wrongly transfusing plaintiff with wrong blood group –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defendant liable in negligence.</w:t>
      </w:r>
    </w:p>
    <w:p w:rsidR="000758D6" w:rsidRDefault="0098221F" w:rsidP="009822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8221F" w:rsidRDefault="000758D6" w:rsidP="009822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LENAOLA AND MAKHANDIA AJJ: </w:t>
      </w:r>
      <w:r>
        <w:rPr>
          <w:rFonts w:ascii="Times New Roman" w:hAnsi="Times New Roman" w:cs="Times New Roman"/>
          <w:color w:val="000000"/>
        </w:rPr>
        <w:t xml:space="preserve">This matter was fully heard by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J and, on his retirement,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agreed that I should conclude the same by hearing final submissions by counsel. I declined to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re-open the matter by way of any party bringing in new evidence. And so on 11 August 2004, both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having filed elaborate submissions, I set out to unravel the issues in contention.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plaintiff, then an 18 year old was travelling in a bus along the Mombasa-Nairobi road when she was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in a serious motor vehicle accident. On the 2 June 1983 unconscious and unaware of herself or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surroundings, she was admitted to MP Shah Hospital. She had as a result of the accident sustained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fractures of the femur and the left leg. She had an operation under the hand of the second defendant,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 Patel. This was on the same day of admission to hospital. Prior to the operation, she had a blood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transfusion. It is not now denied that the plaintiff’s blood group is O+ but on that day she was transfused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blood O-. The reason for this is that the hospital’s technicians in testing her blood group and doing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usual cross match found that she was group O- and not O+. When a second operation was done by the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defendant on 7 February 1984, she was again transfused with blood group O-. It was only on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 January 1989 when further tests were done that it was discovered that the plaintiff was of blood group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O+ and not O-. By this time she had undergone a series of operations to rectify anomalies and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complications arising from the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and allegedly also from the wrong transfusion of blood. She then filed this suit on 14 January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1992.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her amended plaint filed on 14 May 1992, the plaintiff pleads that the defendants, their servants and/or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agents were negligent and were in breach of their duty of care to her in that they performed their duties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negligently and </w:t>
      </w:r>
      <w:proofErr w:type="spellStart"/>
      <w:r>
        <w:rPr>
          <w:rFonts w:ascii="Times New Roman" w:hAnsi="Times New Roman" w:cs="Times New Roman"/>
          <w:color w:val="000000"/>
        </w:rPr>
        <w:t>unskilfully</w:t>
      </w:r>
      <w:proofErr w:type="spellEnd"/>
      <w:r>
        <w:rPr>
          <w:rFonts w:ascii="Times New Roman" w:hAnsi="Times New Roman" w:cs="Times New Roman"/>
          <w:color w:val="000000"/>
        </w:rPr>
        <w:t>. The particulars thereof were that: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they failed to ascertain the plaintiff’s blood group;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they failed to ascertain the group of blood that was transfused to the plaintiff; and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they failed to notice the adverse reaction of the plaintiff when blood was being transfused into her or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 the transfusion.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further veered in the plaint that as a result, the plaintiff suffered great pain and injury and has thereby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loss and pain. The particulars of injury are said to be: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unhealed deformed thigh;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chronic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anaemia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infection of the thigh; and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will be unable to conceive a baby.</w:t>
      </w:r>
      <w:r w:rsid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claims in the plaint, medical expenses inclusive of costs of her trips to India for </w:t>
      </w:r>
      <w:proofErr w:type="spellStart"/>
      <w:r>
        <w:rPr>
          <w:rFonts w:ascii="Times New Roman" w:hAnsi="Times New Roman" w:cs="Times New Roman"/>
          <w:color w:val="000000"/>
        </w:rPr>
        <w:t>specialised</w:t>
      </w:r>
      <w:proofErr w:type="spellEnd"/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treatment amounting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476 192-45 and costs of further treatment amounting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200 000. She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claims lost earnings and loss of earning capacity as she is unable to engage in any form of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as against the second defendant was withdrawn on 18 January 1997 and therefore, the case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now against the first defendant, which is said to be a company that owns, manages and controls the MP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Shah Hospital.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PW1 was </w:t>
      </w:r>
      <w:proofErr w:type="spellStart"/>
      <w:r>
        <w:rPr>
          <w:rFonts w:ascii="Times New Roman" w:hAnsi="Times New Roman" w:cs="Times New Roman"/>
          <w:color w:val="000000"/>
        </w:rPr>
        <w:t>Kunjvihari</w:t>
      </w:r>
      <w:proofErr w:type="spellEnd"/>
      <w:r>
        <w:rPr>
          <w:rFonts w:ascii="Times New Roman" w:hAnsi="Times New Roman" w:cs="Times New Roman"/>
          <w:color w:val="000000"/>
        </w:rPr>
        <w:t xml:space="preserve"> Kanji Shah, who is recorded as being a “general pathologist”. He confirmed that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blood group test was done by technicians at the MP Shah Hospital and upon doing a match it was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to be O+. He produced the report. Of significance is his evidence that “sometimes O+ red cells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circulating in the blood which may give O+ instead of giving O- and this is a probability. If this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the case,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if there had been a transfusion before the grouping O+ is regarded as universal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is given during emergency when the right blood is not available”.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PW2, </w:t>
      </w:r>
      <w:proofErr w:type="spellStart"/>
      <w:r>
        <w:rPr>
          <w:rFonts w:ascii="Times New Roman" w:hAnsi="Times New Roman" w:cs="Times New Roman"/>
          <w:color w:val="000000"/>
        </w:rPr>
        <w:t>Malkit</w:t>
      </w:r>
      <w:proofErr w:type="spellEnd"/>
      <w:r>
        <w:rPr>
          <w:rFonts w:ascii="Times New Roman" w:hAnsi="Times New Roman" w:cs="Times New Roman"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color w:val="000000"/>
        </w:rPr>
        <w:t>Riyat</w:t>
      </w:r>
      <w:proofErr w:type="spellEnd"/>
      <w:r>
        <w:rPr>
          <w:rFonts w:ascii="Times New Roman" w:hAnsi="Times New Roman" w:cs="Times New Roman"/>
          <w:color w:val="000000"/>
        </w:rPr>
        <w:t xml:space="preserve"> who identified himself as “a doctor </w:t>
      </w:r>
      <w:proofErr w:type="spellStart"/>
      <w:r>
        <w:rPr>
          <w:rFonts w:ascii="Times New Roman" w:hAnsi="Times New Roman" w:cs="Times New Roman"/>
          <w:color w:val="000000"/>
        </w:rPr>
        <w:t>specialising</w:t>
      </w:r>
      <w:proofErr w:type="spellEnd"/>
      <w:r>
        <w:rPr>
          <w:rFonts w:ascii="Times New Roman" w:hAnsi="Times New Roman" w:cs="Times New Roman"/>
          <w:color w:val="000000"/>
        </w:rPr>
        <w:t xml:space="preserve"> in blood disorder” prepared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report (P Exhibit 2) on the plaintiff’s condition and found that her blood was O- and that there were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antibodies in her blood stream. He said this of the MP Shah Hospital; “they have machines for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classifying blood and I am surprised how they missed this (right blood group). A wrong transfusion can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kill a patient.” Further, that </w:t>
      </w:r>
      <w:r>
        <w:rPr>
          <w:rFonts w:ascii="Times New Roman" w:hAnsi="Times New Roman" w:cs="Times New Roman"/>
          <w:color w:val="000000"/>
        </w:rPr>
        <w:lastRenderedPageBreak/>
        <w:t>“wrong transfusion can bring complications for example kidney failure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bleeding fondles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 xml:space="preserve">). A female who has conceived can cause death to the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 xml:space="preserve"> or it can be born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deformity to the brain and other disabilities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There is a risk to a future baby. There is danger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future if patient is a female. Plaintiff has suffered renal failures. This is permanent”.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PW3 was the plaintiff herself and she testified that “both times after transfusion I had complications. I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high temperature. During my 1992 operation I had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several problems. It was July 1992. I could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pass urine. I was in machine for 5 days, dialysis, </w:t>
      </w:r>
      <w:proofErr w:type="gramStart"/>
      <w:r>
        <w:rPr>
          <w:rFonts w:ascii="Times New Roman" w:hAnsi="Times New Roman" w:cs="Times New Roman"/>
          <w:color w:val="000000"/>
        </w:rPr>
        <w:t>temperature</w:t>
      </w:r>
      <w:proofErr w:type="gram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)”.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First case</w:t>
      </w:r>
      <w:r w:rsid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first defendant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30 June 1992 and denied generally all the matters raised in the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plaint. Specifically at paragraph 5 thereof it is stated that “the first defendant makes no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admission that the second defendant transfused into the plaintiff’s blood that which was positive instead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‘O’ negative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and puts the plaintiff to strict proof thereof”. Paragraphs 6 and 7 thereof deny the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breach of any statutory or contractual duty as alleged and also of the particulars of injuries and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damages as claimed by the plaintiff.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other element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is that the claim as filed is time barred under the “Limitation Act”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said to be bad in law. Curiously, neither in evidence nor in submissions was this matter raised and I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shall myself ignore it for purposes of this judgment. DW1 was </w:t>
      </w:r>
      <w:proofErr w:type="spellStart"/>
      <w:r>
        <w:rPr>
          <w:rFonts w:ascii="Times New Roman" w:hAnsi="Times New Roman" w:cs="Times New Roman"/>
          <w:color w:val="000000"/>
        </w:rPr>
        <w:t>Mwanda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Walter, a doctor and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lecturer of pathology. He testified that he had in 1993 examined the plaintiff on the request of her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advocates. He makes reference to a report by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Warshow</w:t>
      </w:r>
      <w:proofErr w:type="spellEnd"/>
      <w:r>
        <w:rPr>
          <w:rFonts w:ascii="Times New Roman" w:hAnsi="Times New Roman" w:cs="Times New Roman"/>
          <w:color w:val="000000"/>
        </w:rPr>
        <w:t xml:space="preserve"> on the plaintiff and says, “This report is not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correct. No evidence of renal failure. Renal failure could have been due to some other matter that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happened before as the operation could not have been carried out if there was failure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I see no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her not to conceive. I would advise against her getting pregnant because of her stature that is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blood received has nothing to do with her physical condition”. In cross-examination he stated that “there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possibility of mistake. We call those mistakes general mistakes. Wrong grouping would not affect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physical condition. Only when massive wrong blood is given that problems develop”.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DW2 was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who testified that he was a Senior Kidney Specialist familiar with the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cause. He confirmed that the “patient had secured transfusion and reacted to it. She had kidney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problems prior even prior to transfusion which accelerated the problem. I treated the patient and she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improved with her kidney status returning to normal”.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cross-examination he confirmed that “she reacted to the blood” and that “the risk can cost life”,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further that “I agree that the transfusion speeded the reaction and the problem”. Lastly in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re-examination, “She will react again” presumably to a wrong blood group transfusion.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set out the evidence in as much detail as possible because as can be seen, all the evidence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 that of the plaintiff is of an expert nature in matters of blood and kidneys. Expert evidence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where conflicts of opinion arise should be handled with caution as Judges and lawyers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likewise, not being themselves experts in those fields need to clearly understand all the issues in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contention. The Judge especially must be able to discern the truth or as near as possible, the truth and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thereby determine the matter reasonably and fairly.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Submissions for the plaintiff</w:t>
      </w:r>
      <w:r w:rsid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plaintiff urged the point that there is no denial that the plaintiff was transfused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wrong blood group and therefore on liability, clearly the first defendant is to be found liable.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all the experts who testified were one in this point.</w:t>
      </w:r>
      <w:r w:rsidR="009822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quantum he broke the issue into:</w:t>
      </w:r>
      <w:r w:rsidR="0098221F">
        <w:rPr>
          <w:rFonts w:ascii="Times New Roman" w:hAnsi="Times New Roman" w:cs="Times New Roman"/>
          <w:color w:val="00000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221F">
        <w:rPr>
          <w:rFonts w:ascii="Times New Roman" w:hAnsi="Times New Roman" w:cs="Times New Roman"/>
          <w:color w:val="000000"/>
          <w:sz w:val="20"/>
          <w:szCs w:val="20"/>
        </w:rPr>
        <w:t>Pain, suffering and loss of amenities; making reference to all the medical reports produced, he urges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that the plaintiff has suffered serious injury and on this heading he proposes damages in the sum of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5 million. He relies on the cases of: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rady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Brown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[1990] 2 Med LR where US dollars 5 000 was awarded to a patient who after a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vasectomy operation had internal bleeding of the scrotum leading to problems in sexual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intercourse and associated marital problems.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atholic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Diocese of Kisumu v Sophia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Achieng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’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Tete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civil appeal 254 f 2001 where a sum of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1.3 million was awarded as general damages for fractures to the hip, femur and deep cuts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and soft tissue injuries after an accident.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enya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Bus Services Limited v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Gituma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civil appeal number [2000] LLR 4027 (CAK) where it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was held that general damages must be assessed on the combined effect of all injuries.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>) Special damages – it is admitted that whereas the claim under this heading in the plaint is said to be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476 192-45 the receipts as submitted do not add up to that figure and a claim for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250 000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is made. Further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200 000 for further medical care is sought. A further sum of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2 340 000 is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sought as lost years based on a proposed net salary of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15 000 per month for 13 years.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8221F">
        <w:rPr>
          <w:rFonts w:ascii="Times New Roman" w:hAnsi="Times New Roman" w:cs="Times New Roman"/>
          <w:color w:val="000000"/>
          <w:sz w:val="20"/>
          <w:szCs w:val="20"/>
        </w:rPr>
        <w:t>(iii) Further lost years or loss of earning capacity – although employed temporarily as a cashier with a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salary of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11 000, a multiplicand of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15 000 for 18 years is proposed which works out to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3 240 000-00.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(iv) Interest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and costs is also sought.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i/>
          <w:iCs/>
          <w:color w:val="000000"/>
        </w:rPr>
        <w:t>First Defendant’s submissions</w:t>
      </w:r>
      <w:r w:rsidR="0098221F"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98221F" w:rsidRDefault="0098221F" w:rsidP="009822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98221F" w:rsidRDefault="000758D6" w:rsidP="009822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8221F">
        <w:rPr>
          <w:rFonts w:ascii="Times New Roman" w:hAnsi="Times New Roman" w:cs="Times New Roman"/>
          <w:color w:val="000000"/>
        </w:rPr>
        <w:lastRenderedPageBreak/>
        <w:t>Learned counsel for the defendant in his submissions stated that the plaintiff “despite the numerous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surgeries she had gone through affecting her femur and despite the after effects of the erroneous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transfusion of blood and despite the abnormally slow growth of her anatomy and size she now appears to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be recovered well and walks almost perfectly (by the grace of God) like a normal person”. He then stated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that the evidence of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KK Shah as reproduced elsewhere in this judgment showed that blood group O+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was always given in emergency cases as it is a universal group.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Riyat’s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evidence was that future transfusions “should only be with rhesus O negative blood as O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positive transfusions would lead to severe </w:t>
      </w:r>
      <w:proofErr w:type="spellStart"/>
      <w:r w:rsidRPr="0098221F">
        <w:rPr>
          <w:rFonts w:ascii="Times New Roman" w:hAnsi="Times New Roman" w:cs="Times New Roman"/>
          <w:color w:val="000000"/>
        </w:rPr>
        <w:t>haemolytical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reactions and also pregnancies with a positive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baby will be complicated by the </w:t>
      </w:r>
      <w:proofErr w:type="spellStart"/>
      <w:r w:rsidRPr="0098221F">
        <w:rPr>
          <w:rFonts w:ascii="Times New Roman" w:hAnsi="Times New Roman" w:cs="Times New Roman"/>
          <w:color w:val="000000"/>
        </w:rPr>
        <w:t>haemolytical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disease of the newborn”. Counsel however took issue with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Riyat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whose evidence in the witness box was not quite the same as in his report. This was with regard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to his claim that a “wrong transfusion can kill a patient”. This finding was apparently not in his report.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I was asked to rely more on the evidence of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Mbenda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Walter </w:t>
      </w:r>
      <w:proofErr w:type="spellStart"/>
      <w:r w:rsidRPr="0098221F">
        <w:rPr>
          <w:rFonts w:ascii="Times New Roman" w:hAnsi="Times New Roman" w:cs="Times New Roman"/>
          <w:color w:val="000000"/>
        </w:rPr>
        <w:t>Otieno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(not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Mwauda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as recorded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by </w:t>
      </w:r>
      <w:proofErr w:type="spellStart"/>
      <w:r w:rsidRPr="0098221F">
        <w:rPr>
          <w:rFonts w:ascii="Times New Roman" w:hAnsi="Times New Roman" w:cs="Times New Roman"/>
          <w:color w:val="000000"/>
        </w:rPr>
        <w:t>Mulwa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J) especially on his finding that renal failure which the plaintiff had could have been attributed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to other factors which occurred before the operation. And also on his finding that the risk of future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pregnancies would be as a result of the plaintiff’s short stature which had nothing to do with the blood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transfusion. The finding that the plaintiff had a pre-existing renal condition, I was told, was confirmed by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Abdullahi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in his report of 19 August 1992. The first defendant, it was argued should not be held liable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for these matters.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Notwithstanding these submissions, counsel urged that should I find the hospital liable, then I should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do so to a very minimal proportion, preferably 20-25% on liability.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On quantum, counsel urged that: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special damages, no proof was given of the sum claimed in the plaint and the same should be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disregarded.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( ii) On general damages, whereas there are no comparable cases found, I was referred to a number of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authorities for guidance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viz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ichobi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BS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Mohindra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Company Limited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High Court civil case 1958 of 1978 where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180 000 was awarded to an accident victim who also lost her baby after eight months of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pregnancy.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uya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>Munene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High Court civil case 1377 of 1987 – </w:t>
      </w:r>
      <w:proofErr w:type="spell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400 000 was awarded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for fractures of the ribs, left tibia and fibula and loss of an eight months pregnancy.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I am asked to grant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300 000 to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400 000 on general damages and no more.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i/>
          <w:iCs/>
          <w:color w:val="000000"/>
        </w:rPr>
        <w:t>Issues and findings</w:t>
      </w:r>
      <w:r w:rsidR="0098221F"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 w:rsidRPr="0098221F">
        <w:rPr>
          <w:rFonts w:ascii="Times New Roman" w:hAnsi="Times New Roman" w:cs="Times New Roman"/>
          <w:color w:val="000000"/>
        </w:rPr>
        <w:t>This</w:t>
      </w:r>
      <w:proofErr w:type="gramEnd"/>
      <w:r w:rsidRPr="0098221F">
        <w:rPr>
          <w:rFonts w:ascii="Times New Roman" w:hAnsi="Times New Roman" w:cs="Times New Roman"/>
          <w:color w:val="000000"/>
        </w:rPr>
        <w:t xml:space="preserve"> is both a sad and intriguing case and I wish to thank counsel appearing for the way they handled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matter.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issue so far as I can see that I must now confront are: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221F">
        <w:rPr>
          <w:rFonts w:ascii="Times New Roman" w:hAnsi="Times New Roman" w:cs="Times New Roman"/>
          <w:color w:val="000000"/>
          <w:sz w:val="20"/>
          <w:szCs w:val="20"/>
        </w:rPr>
        <w:t>Since there is no denial that the plaintiff was transfused with the wrong blood group by the first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defendant’s agents, what effect(s) did that erroneous act have on the plaintiff?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>) Is the first defendant, therefore, liable in damages to the plaintiff?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8221F">
        <w:rPr>
          <w:rFonts w:ascii="Times New Roman" w:hAnsi="Times New Roman" w:cs="Times New Roman"/>
          <w:color w:val="000000"/>
          <w:sz w:val="20"/>
          <w:szCs w:val="20"/>
        </w:rPr>
        <w:t>(iii) What heads of damages, if at all should be considered?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(iv) Under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each head of damages, if at all, what would be the proper quantum to award?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221F" w:rsidRPr="0098221F" w:rsidRDefault="000758D6" w:rsidP="00982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98221F"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 w:rsidRPr="0098221F">
        <w:rPr>
          <w:rFonts w:ascii="Times New Roman" w:hAnsi="Times New Roman" w:cs="Times New Roman"/>
          <w:color w:val="000000"/>
          <w:sz w:val="20"/>
          <w:szCs w:val="20"/>
        </w:rPr>
        <w:t>) Costs.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i/>
          <w:iCs/>
          <w:color w:val="000000"/>
        </w:rPr>
        <w:t>Effect of wrong blood on the plaintiff and liability of the first defendant</w:t>
      </w:r>
      <w:r w:rsidR="0098221F"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98221F" w:rsidRDefault="0098221F" w:rsidP="009822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0758D6" w:rsidRPr="0098221F" w:rsidRDefault="000758D6" w:rsidP="009822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8221F">
        <w:rPr>
          <w:rFonts w:ascii="Times New Roman" w:hAnsi="Times New Roman" w:cs="Times New Roman"/>
          <w:color w:val="000000"/>
        </w:rPr>
        <w:t>As I said earlier, the plaint gives particulars of injury arising from the wrong blood transfusion as being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unhealed deformed thigh, chronic </w:t>
      </w:r>
      <w:proofErr w:type="spellStart"/>
      <w:r w:rsidRPr="0098221F">
        <w:rPr>
          <w:rFonts w:ascii="Times New Roman" w:hAnsi="Times New Roman" w:cs="Times New Roman"/>
          <w:color w:val="000000"/>
        </w:rPr>
        <w:t>anaemia</w:t>
      </w:r>
      <w:proofErr w:type="spellEnd"/>
      <w:r w:rsidRPr="0098221F">
        <w:rPr>
          <w:rFonts w:ascii="Times New Roman" w:hAnsi="Times New Roman" w:cs="Times New Roman"/>
          <w:color w:val="000000"/>
        </w:rPr>
        <w:t>, infection of the thigh and inability to conceive a baby.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Without saying more, all the injuries to the thigh and infection thereto arise from the motor vehicle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accident and I see no connection with the blood transfusion.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The evidence of the experts on </w:t>
      </w:r>
      <w:proofErr w:type="spellStart"/>
      <w:r w:rsidRPr="0098221F">
        <w:rPr>
          <w:rFonts w:ascii="Times New Roman" w:hAnsi="Times New Roman" w:cs="Times New Roman"/>
          <w:color w:val="000000"/>
        </w:rPr>
        <w:t>anaemia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and inability to conceive a child is not consistent. However, it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is only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Mbenda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Walter </w:t>
      </w:r>
      <w:proofErr w:type="spellStart"/>
      <w:r w:rsidRPr="0098221F">
        <w:rPr>
          <w:rFonts w:ascii="Times New Roman" w:hAnsi="Times New Roman" w:cs="Times New Roman"/>
          <w:color w:val="000000"/>
        </w:rPr>
        <w:t>Otieno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who says that he sees “no reason why” the plaintiff cannot conceive.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Riyat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thinks otherwise, so does Prof Edward George </w:t>
      </w:r>
      <w:proofErr w:type="spellStart"/>
      <w:r w:rsidRPr="0098221F">
        <w:rPr>
          <w:rFonts w:ascii="Times New Roman" w:hAnsi="Times New Roman" w:cs="Times New Roman"/>
          <w:color w:val="000000"/>
        </w:rPr>
        <w:t>Kasili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in his report dated 16 January 1989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(P Exhibit 3). Both agree that a baby conceived by the plaintiff in view of the wrong transfusion runs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risk of suffering from </w:t>
      </w:r>
      <w:proofErr w:type="spellStart"/>
      <w:r w:rsidRPr="0098221F">
        <w:rPr>
          <w:rFonts w:ascii="Times New Roman" w:hAnsi="Times New Roman" w:cs="Times New Roman"/>
          <w:color w:val="000000"/>
        </w:rPr>
        <w:t>haemolytic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disease of the newborn. I am inclined to believe the majority and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disregard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color w:val="000000"/>
        </w:rPr>
        <w:t>Otieno’s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testimony on this point and shall hold that there is a risk to the plaintiff and her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baby should she conceive and for this, the first defendant shall be held liable.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On the renal failure that the plaintiff suffered and her </w:t>
      </w:r>
      <w:proofErr w:type="spellStart"/>
      <w:r w:rsidRPr="0098221F">
        <w:rPr>
          <w:rFonts w:ascii="Times New Roman" w:hAnsi="Times New Roman" w:cs="Times New Roman"/>
          <w:color w:val="000000"/>
        </w:rPr>
        <w:t>anaemic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condition, clearly the evidence as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presented points to a pre-existing condition in that regard. I </w:t>
      </w:r>
      <w:proofErr w:type="gramStart"/>
      <w:r w:rsidRPr="0098221F">
        <w:rPr>
          <w:rFonts w:ascii="Times New Roman" w:hAnsi="Times New Roman" w:cs="Times New Roman"/>
          <w:color w:val="000000"/>
        </w:rPr>
        <w:t>would</w:t>
      </w:r>
      <w:proofErr w:type="gramEnd"/>
      <w:r w:rsidRPr="0098221F">
        <w:rPr>
          <w:rFonts w:ascii="Times New Roman" w:hAnsi="Times New Roman" w:cs="Times New Roman"/>
          <w:color w:val="000000"/>
        </w:rPr>
        <w:t xml:space="preserve"> have to take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Saeed </w:t>
      </w:r>
      <w:proofErr w:type="spellStart"/>
      <w:r w:rsidRPr="0098221F">
        <w:rPr>
          <w:rFonts w:ascii="Times New Roman" w:hAnsi="Times New Roman" w:cs="Times New Roman"/>
          <w:color w:val="000000"/>
        </w:rPr>
        <w:t>Abdullahi’s</w:t>
      </w:r>
      <w:proofErr w:type="spellEnd"/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evidence that the wrong transfusion “accelerated the problem” and that it “speeded up the reaction and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problem”. The evidence is consistent with the plaintiff’s own evidence that her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="0098221F">
        <w:rPr>
          <w:rFonts w:ascii="Times New Roman" w:hAnsi="Times New Roman" w:cs="Times New Roman"/>
          <w:color w:val="000000"/>
        </w:rPr>
        <w:t>r</w:t>
      </w:r>
      <w:r w:rsidRPr="0098221F">
        <w:rPr>
          <w:rFonts w:ascii="Times New Roman" w:hAnsi="Times New Roman" w:cs="Times New Roman"/>
          <w:color w:val="000000"/>
        </w:rPr>
        <w:t>eaction to the wrong transfusion was always severe. This evidence was unchallenged and I take it that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whereas the plaintiff may have had an existing renal condition, the wrong blood transfusion enhanced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condition to the suffering of the plaintiff and for that reason again, I must hold the first defendant liable.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i/>
          <w:iCs/>
          <w:color w:val="000000"/>
        </w:rPr>
        <w:t>Damages</w:t>
      </w:r>
      <w:r w:rsidR="0098221F"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Learned counsel for the plaintiff conceded quite correctly that the claim for special damages pleaded in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the amended plaint has not been proved. No evidence was led to </w:t>
      </w:r>
      <w:r w:rsidRPr="0098221F">
        <w:rPr>
          <w:rFonts w:ascii="Times New Roman" w:hAnsi="Times New Roman" w:cs="Times New Roman"/>
          <w:color w:val="000000"/>
        </w:rPr>
        <w:lastRenderedPageBreak/>
        <w:t xml:space="preserve">justify the figure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476 192-45.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Learned counsel for the plaintiff asked that this Court should award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250 000 “as some of it was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expense incurred prior to the blood transfusion”. No basis for this amount was laid in evidence and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although special damages would have been awarded in this case, the only sum proved is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3 550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being payments to Clinical Laboratories and Professor Edward George </w:t>
      </w:r>
      <w:proofErr w:type="spellStart"/>
      <w:r w:rsidRPr="0098221F">
        <w:rPr>
          <w:rFonts w:ascii="Times New Roman" w:hAnsi="Times New Roman" w:cs="Times New Roman"/>
          <w:color w:val="000000"/>
        </w:rPr>
        <w:t>Kasili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as consultation fees to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confirm the plaintiff’s correct blood group. I shall therefore award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3 500 as special damages.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As regards the cost of future medical care, again counsel for the plaintiff stated as follows: “I confess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that the only evidence in respect of this head of damages is from DW2 at page 25 of the typed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proceedings that biopsy would cost between 10 000 – 15 000 in 1992. This however, does not take into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account further and other treatment including blood transfusion, medicines </w:t>
      </w:r>
      <w:proofErr w:type="spellStart"/>
      <w:r w:rsidRPr="0098221F">
        <w:rPr>
          <w:rFonts w:ascii="Times New Roman" w:hAnsi="Times New Roman" w:cs="Times New Roman"/>
          <w:color w:val="000000"/>
        </w:rPr>
        <w:t>etc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and I urge your lordship to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award the sum claimed or a reasonable figure thereof.” A figure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200 000 is stated as the sum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claimed. The evidence in this point is again as stated by counsel for the plaintiff quite unhelpful. DW2 </w:t>
      </w:r>
      <w:proofErr w:type="spellStart"/>
      <w:r w:rsidRPr="0098221F">
        <w:rPr>
          <w:rFonts w:ascii="Times New Roman" w:hAnsi="Times New Roman" w:cs="Times New Roman"/>
          <w:color w:val="000000"/>
        </w:rPr>
        <w:t>Dr</w:t>
      </w:r>
      <w:proofErr w:type="spellEnd"/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Saeed </w:t>
      </w:r>
      <w:proofErr w:type="spellStart"/>
      <w:r w:rsidRPr="0098221F">
        <w:rPr>
          <w:rFonts w:ascii="Times New Roman" w:hAnsi="Times New Roman" w:cs="Times New Roman"/>
          <w:color w:val="000000"/>
        </w:rPr>
        <w:t>Abdullahi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said this in the question of biopsy; “this biopsy would have shown whether the patient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would improve or deteriorate. The problem is likely to continue. The biopsy would have cost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10 000 –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15 000 at that time”.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biopsy cannot by itself therefore be a basis for future medical care as it was a test only. I would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have expected the plaintiff in her evidence to indicate clearly that she requires future medical care with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regard to the side effects of the wrong blood transfusion. She did not even mention it. This claim must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fail for this reason.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On the claim that the plaintiff has suffered lost years as she is unable to be employed from 23 July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1992, again sadly this claim was not pleaded anywhere in the amended plaint, no mention of it is made in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plaintiff’s testimony and the claim only surfaced in the submissions by counsel. It is imperative in a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claim of this nature that the foundation for a claim is properly laid in pleadings, proved at the trial and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then submissions can be made on that basis. I see no reason to grant any sum with regard to this part of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claim.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reasoning above must also apply to the claim for future lost years of earning capacity. Counsel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for the plaintiff states that “my instructions are that the plaintiff is temporarily engaged in a job as a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cashier earning </w:t>
      </w:r>
      <w:proofErr w:type="spellStart"/>
      <w:r w:rsidRPr="0098221F">
        <w:rPr>
          <w:rFonts w:ascii="Times New Roman" w:hAnsi="Times New Roman" w:cs="Times New Roman"/>
          <w:color w:val="000000"/>
        </w:rPr>
        <w:t>KSh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11 000 net per month since October 2003”. Again, there is no basis for this claim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anywhere in the amended plaint nor in evidence and regrettably I have to refuse to make any award in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that regard.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Turning now to the claim for general damages, like counsel I see no local authority of the nature of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case before me. I have held that there is and there will be loss and injury to the plaintiff as a result of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wrong blood transfusion.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 must, however, be alive to the fact that almost all of the plaintiff’s present predicaments save that of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inability to conceive and complications to herself and her child were caused by the motor vehicle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accident. She has been adequately compensated for injuries caused by the accident. My award should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therefore be limited only to the wrongful act of transfusing the plaintiff with the wrong blood type. Both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counsel have referred to authorities that are not exactly of the same nature as the case before me. I must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however dispose of one point raised by counsel for the first defendant. He seeks that whatever award I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give, the plaintiff should bear 75% - 80% of the liability. I saw no basis for this. The first defendant is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liable 100% for the wrongful act and for the loss to the plaintiff. No evidence at all was tendered to show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any contribution by the plaintiff. What was shown was that she had an existing problem which was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aggravated by the first defendant’s agents or servant’s action. That to my mind is no mitigating factor.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Had there not been negligence and a lack of care, the problem would have been secured as was done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immediately the anomaly was discovered. That is why the plaintiff does not now suffer the high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temperature and renal problems she got immediately after the wrong transfusion. That is why if another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wrong transfusion is given she will immediately react. This was all confirmed by the expert witnesses.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What is clear is that as a result she will have complications in conceiving a baby and the baby will have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in any event more serious complications.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In saying this, I am guided by the </w:t>
      </w:r>
      <w:proofErr w:type="spellStart"/>
      <w:r w:rsidRPr="0098221F">
        <w:rPr>
          <w:rFonts w:ascii="Times New Roman" w:hAnsi="Times New Roman" w:cs="Times New Roman"/>
          <w:color w:val="000000"/>
        </w:rPr>
        <w:t>Bonnington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principle as set out in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Bonington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Castings Limited v</w:t>
      </w:r>
      <w:r w:rsidR="0098221F"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Wardlaw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[1956] AC 613 which was followed in </w:t>
      </w:r>
      <w:r w:rsidRPr="0098221F">
        <w:rPr>
          <w:rFonts w:ascii="Times New Roman" w:hAnsi="Times New Roman" w:cs="Times New Roman"/>
          <w:i/>
          <w:iCs/>
          <w:color w:val="000000"/>
        </w:rPr>
        <w:t xml:space="preserve">McGhee v National Coal Board </w:t>
      </w:r>
      <w:r w:rsidRPr="0098221F">
        <w:rPr>
          <w:rFonts w:ascii="Times New Roman" w:hAnsi="Times New Roman" w:cs="Times New Roman"/>
          <w:color w:val="000000"/>
        </w:rPr>
        <w:t>[1973] WLR 1, Lord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Salmon said this in the latter case: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“I, of course, accept that the burden rests on the appellant to prove, on a balance of probabilities, a causal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connection between his injury and the respondent’s negligence. It is not necessary, however, to prove that the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respondent’s negligence was not the only cause of injury. A factor, by itself, may not be sufficient to cause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injury, but if with other factors, it materially contributes to causing injury, it is clearly cause of injury”.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Further, in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Alphacell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Woodword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[1972] AC 24 at 947 on the same principle Lord Salmon said: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“The nature of causation has been discussed by many eminent philosophers and also by a number of Learned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Judges in the past. I consider, however, that what or who has caused a certain event to occur is essentially a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practical rather than an abstract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lastRenderedPageBreak/>
        <w:t>metaphorical theory”.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This is the approach I have taken in this case guided by the evidence of all the eminent doctors called by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the parties.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It does not matter therefore, that there was a pre-existing condition. What is material is that the first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defendant’s negligence through its servants, which has not been denied, had contributed materially to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plaintiff’s present condition. There is no running away from the fact that for those reasons the first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defendant is wholly liable.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What should I award the defendant under this head of damages? Learned counsel for the first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defendant suggests the modes figures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300 000 to 400 00. Counsel for the plaintiff on the other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hand is content with an award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5 million. Both are in agreement however that none of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authorities cited have similarities with the matter at hand. They also lament the lack of local or other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authorities to guide themselves or the Court. They both seek a fair award taking into account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circumstances of this case.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Pr="0098221F">
        <w:rPr>
          <w:rFonts w:ascii="Times New Roman" w:hAnsi="Times New Roman" w:cs="Times New Roman"/>
          <w:color w:val="000000"/>
        </w:rPr>
        <w:t xml:space="preserve">In the American case of </w:t>
      </w:r>
      <w:r w:rsidRPr="0098221F">
        <w:rPr>
          <w:rFonts w:ascii="Times New Roman" w:hAnsi="Times New Roman" w:cs="Times New Roman"/>
          <w:i/>
          <w:iCs/>
          <w:color w:val="000000"/>
        </w:rPr>
        <w:t xml:space="preserve">Doe v United States of America </w:t>
      </w:r>
      <w:r w:rsidRPr="0098221F">
        <w:rPr>
          <w:rFonts w:ascii="Times New Roman" w:hAnsi="Times New Roman" w:cs="Times New Roman"/>
          <w:color w:val="000000"/>
        </w:rPr>
        <w:t>[1990] 2 Med LR, the plaintiff who was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named “Doe” to protect his privacy, was five years old. Because of a surgeon’s negligence, he required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54 units of blood, instead of two. As a result of the additional transfusions, he was diagnosed HIV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positive. His condition deteriorated and in March 1989 he was diagnosed as having developed AIDS. In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his suit, the Court found that the surgeon was negligent and it was held partly, that apart from the risk of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contracting HIV, “it had been </w:t>
      </w:r>
      <w:proofErr w:type="spellStart"/>
      <w:r w:rsidRPr="0098221F">
        <w:rPr>
          <w:rFonts w:ascii="Times New Roman" w:hAnsi="Times New Roman" w:cs="Times New Roman"/>
          <w:color w:val="000000"/>
        </w:rPr>
        <w:t>recognised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for many years that transfusion could transmit other life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threatening diseases”. Poor Doe was awarded US$ 800 000 as general damages. This by today’s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exchange rate is about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64 million. At the same time the injuries and loss suffered by the plaintiff in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this matter are not of the same magnitude as Doe who through the transfusion received as it were a death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sentence at the tender age of 5. The plaintiff received compensation for her other injuries, is able to work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and has some sort of future. She cannot bear children which is traumatic but incomparable with Doe.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In awarding damages in a case of this nature where no local authority is cited I must warn myself of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the damages of being subjective. As was held in </w:t>
      </w:r>
      <w:r w:rsidRPr="0098221F">
        <w:rPr>
          <w:rFonts w:ascii="Times New Roman" w:hAnsi="Times New Roman" w:cs="Times New Roman"/>
          <w:i/>
          <w:iCs/>
          <w:color w:val="000000"/>
        </w:rPr>
        <w:t xml:space="preserve">Mc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Farlane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Tayside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Health Board </w:t>
      </w:r>
      <w:r w:rsidRPr="0098221F">
        <w:rPr>
          <w:rFonts w:ascii="Times New Roman" w:hAnsi="Times New Roman" w:cs="Times New Roman"/>
          <w:color w:val="000000"/>
        </w:rPr>
        <w:t>[1999]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4 All ER 961 at 977-975: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“What may count in a situation of difficulty and uncertainty is not the subjective view of the Judge but what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  <w:sz w:val="20"/>
          <w:szCs w:val="20"/>
        </w:rPr>
        <w:t>he reasonably believes that the ordinary citizen would regard as right”.</w:t>
      </w:r>
      <w:r w:rsidR="0098221F" w:rsidRPr="009822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Further in </w:t>
      </w:r>
      <w:r w:rsidRPr="0098221F">
        <w:rPr>
          <w:rFonts w:ascii="Times New Roman" w:hAnsi="Times New Roman" w:cs="Times New Roman"/>
          <w:i/>
          <w:iCs/>
          <w:color w:val="000000"/>
        </w:rPr>
        <w:t xml:space="preserve">Butter v Butter </w:t>
      </w:r>
      <w:r w:rsidRPr="0098221F">
        <w:rPr>
          <w:rFonts w:ascii="Times New Roman" w:hAnsi="Times New Roman" w:cs="Times New Roman"/>
          <w:color w:val="000000"/>
        </w:rPr>
        <w:t>[1984] KLR 225 the Court held that, “in awarding damages, a court should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consider the general picture and all the prevailing circumstances and effect of the injuries on the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claimant”.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Lastly on this point, a “common sense” approach (see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Luduwa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Ayuku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 w:rsidRPr="0098221F">
        <w:rPr>
          <w:rFonts w:ascii="Times New Roman" w:hAnsi="Times New Roman" w:cs="Times New Roman"/>
          <w:color w:val="000000"/>
        </w:rPr>
        <w:t>[1986] KLR 395)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would assist the Court in reaching a reasonable, fair and just award. In doing so, the award “must not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result in injustice to the defendant” and “must accord with what society as a whole would perceive as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being reasonable”. (See [2003] 3 All ER 138 at 139).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I am also alive to the fact that when referring to English or American authorities, a court should only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use them as indicators and useful parameters hence my careful approach to the Doe decision (</w:t>
      </w:r>
      <w:r w:rsidRPr="0098221F">
        <w:rPr>
          <w:rFonts w:ascii="Times New Roman" w:hAnsi="Times New Roman" w:cs="Times New Roman"/>
          <w:i/>
          <w:iCs/>
          <w:color w:val="000000"/>
        </w:rPr>
        <w:t>supra</w:t>
      </w:r>
      <w:r w:rsidRPr="0098221F">
        <w:rPr>
          <w:rFonts w:ascii="Times New Roman" w:hAnsi="Times New Roman" w:cs="Times New Roman"/>
          <w:color w:val="000000"/>
        </w:rPr>
        <w:t>).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This was the holding in </w:t>
      </w:r>
      <w:r w:rsidRPr="0098221F">
        <w:rPr>
          <w:rFonts w:ascii="Times New Roman" w:hAnsi="Times New Roman" w:cs="Times New Roman"/>
          <w:i/>
          <w:iCs/>
          <w:color w:val="000000"/>
        </w:rPr>
        <w:t xml:space="preserve">Southern Engineering Limited v </w:t>
      </w:r>
      <w:proofErr w:type="spellStart"/>
      <w:r w:rsidRPr="0098221F">
        <w:rPr>
          <w:rFonts w:ascii="Times New Roman" w:hAnsi="Times New Roman" w:cs="Times New Roman"/>
          <w:i/>
          <w:iCs/>
          <w:color w:val="000000"/>
        </w:rPr>
        <w:t>Mutia</w:t>
      </w:r>
      <w:proofErr w:type="spellEnd"/>
      <w:r w:rsidRPr="0098221F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[1985] KLR 730.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To my mind therefore, a fair and reasonable award in general damages would be in the sum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million. I take the figure from the position that the plaintiff has received compensation for other injuries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and this would be sufficient in my view to assuage the injuries and loss of expectation of a child as any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woman would.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In the end I shall make an order that the first defendant do pay to the plaintiff the sum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 xml:space="preserve">million in general damages and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3 550 in special damages making a total of </w:t>
      </w:r>
      <w:proofErr w:type="spellStart"/>
      <w:r w:rsidRPr="0098221F">
        <w:rPr>
          <w:rFonts w:ascii="Times New Roman" w:hAnsi="Times New Roman" w:cs="Times New Roman"/>
          <w:color w:val="000000"/>
        </w:rPr>
        <w:t>KShs</w:t>
      </w:r>
      <w:proofErr w:type="spellEnd"/>
      <w:r w:rsidRPr="0098221F">
        <w:rPr>
          <w:rFonts w:ascii="Times New Roman" w:hAnsi="Times New Roman" w:cs="Times New Roman"/>
          <w:color w:val="000000"/>
        </w:rPr>
        <w:t xml:space="preserve"> 3 003 550 plus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costs and interest thereon.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Orders accordingly.</w:t>
      </w:r>
      <w:r w:rsidR="0098221F" w:rsidRPr="0098221F">
        <w:rPr>
          <w:rFonts w:ascii="Times New Roman" w:hAnsi="Times New Roman" w:cs="Times New Roman"/>
          <w:color w:val="000000"/>
        </w:rPr>
        <w:t xml:space="preserve"> </w:t>
      </w:r>
      <w:r w:rsidRPr="0098221F">
        <w:rPr>
          <w:rFonts w:ascii="Times New Roman" w:hAnsi="Times New Roman" w:cs="Times New Roman"/>
          <w:color w:val="000000"/>
        </w:rPr>
        <w:t>For the plaintiff: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Billing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R Billing &amp; Co</w:t>
      </w:r>
    </w:p>
    <w:p w:rsidR="000758D6" w:rsidRDefault="000758D6" w:rsidP="00075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97396" w:rsidRDefault="000758D6" w:rsidP="000758D6">
      <w:r>
        <w:rPr>
          <w:rFonts w:ascii="Times New Roman" w:hAnsi="Times New Roman" w:cs="Times New Roman"/>
          <w:i/>
          <w:iCs/>
          <w:color w:val="000000"/>
        </w:rPr>
        <w:t>Patel</w:t>
      </w:r>
    </w:p>
    <w:sectPr w:rsidR="00E97396" w:rsidSect="0098221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0209F"/>
    <w:multiLevelType w:val="hybridMultilevel"/>
    <w:tmpl w:val="F440C722"/>
    <w:lvl w:ilvl="0" w:tplc="48C646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2938"/>
    <w:multiLevelType w:val="hybridMultilevel"/>
    <w:tmpl w:val="0C70727A"/>
    <w:lvl w:ilvl="0" w:tplc="8E806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D6"/>
    <w:rsid w:val="000758D6"/>
    <w:rsid w:val="0098221F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C066-8A92-4B3B-B828-B540510F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3762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2018-07-03T13:30:00Z</dcterms:created>
  <dcterms:modified xsi:type="dcterms:W3CDTF">2018-07-12T07:49:00Z</dcterms:modified>
</cp:coreProperties>
</file>